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E60C4" w14:textId="5BA8E69F" w:rsidR="004A0AD3" w:rsidRPr="004A0AD3" w:rsidRDefault="004A0AD3" w:rsidP="003512CC">
      <w:pPr>
        <w:ind w:left="360" w:firstLine="405"/>
        <w:jc w:val="both"/>
        <w:rPr>
          <w:b/>
          <w:iCs/>
          <w:szCs w:val="24"/>
          <w:lang w:val="hr-HR"/>
        </w:rPr>
      </w:pPr>
      <w:r w:rsidRPr="004A0AD3">
        <w:rPr>
          <w:b/>
          <w:iCs/>
          <w:szCs w:val="24"/>
          <w:lang w:val="hr-HR"/>
        </w:rPr>
        <w:t>OBRAZLOŽENJE GODIŠNJEG IZVJEŠTAJ</w:t>
      </w:r>
      <w:r>
        <w:rPr>
          <w:b/>
          <w:iCs/>
          <w:szCs w:val="24"/>
          <w:lang w:val="hr-HR"/>
        </w:rPr>
        <w:t>A</w:t>
      </w:r>
      <w:r w:rsidR="002F0FA4">
        <w:rPr>
          <w:b/>
          <w:iCs/>
          <w:szCs w:val="24"/>
          <w:lang w:val="hr-HR"/>
        </w:rPr>
        <w:t xml:space="preserve"> O IZVRŠENJU PRORAČUNA ZA 2025</w:t>
      </w:r>
      <w:r w:rsidRPr="004A0AD3">
        <w:rPr>
          <w:b/>
          <w:iCs/>
          <w:szCs w:val="24"/>
          <w:lang w:val="hr-HR"/>
        </w:rPr>
        <w:t>. GODINU</w:t>
      </w:r>
    </w:p>
    <w:p w14:paraId="367DF547" w14:textId="77777777" w:rsidR="004A0AD3" w:rsidRDefault="004A0AD3" w:rsidP="003512CC">
      <w:pPr>
        <w:ind w:left="360" w:firstLine="405"/>
        <w:jc w:val="both"/>
        <w:rPr>
          <w:bCs/>
          <w:iCs/>
          <w:szCs w:val="24"/>
          <w:lang w:val="hr-HR"/>
        </w:rPr>
      </w:pPr>
    </w:p>
    <w:p w14:paraId="4D6D0DC8" w14:textId="77777777" w:rsidR="008C6E92" w:rsidRPr="0017483A" w:rsidRDefault="008C6E92" w:rsidP="008C6E92">
      <w:pPr>
        <w:jc w:val="both"/>
        <w:rPr>
          <w:lang w:val="hr-HR"/>
        </w:rPr>
      </w:pPr>
      <w:r w:rsidRPr="0017483A">
        <w:rPr>
          <w:lang w:val="hr-HR"/>
        </w:rPr>
        <w:t xml:space="preserve">Sukladno članku 79. Zakona o proračunu (NN 144/21) i članku 17. Pravilnika o polugodišnjem i godišnjem izvještaju o izvršenju proračuna i financijskog plana (NN 85/23) sastavljeno je Obrazloženje Godišnjeg izvještaja o izvršenju proračuna Općine Donja Dubrava za razdoblje od 01.01. do 31.12.2025. godine. </w:t>
      </w:r>
    </w:p>
    <w:p w14:paraId="6BB69CCD" w14:textId="77777777" w:rsidR="008C6E92" w:rsidRPr="008C6E92" w:rsidRDefault="008C6E92" w:rsidP="008C6E92">
      <w:pPr>
        <w:jc w:val="both"/>
        <w:rPr>
          <w:color w:val="5B9BD5" w:themeColor="accent5"/>
          <w:lang w:val="pl-PL"/>
        </w:rPr>
      </w:pPr>
      <w:r w:rsidRPr="0017483A">
        <w:rPr>
          <w:lang w:val="hr-HR"/>
        </w:rPr>
        <w:t xml:space="preserve">Godišnji izvještaj o izvršenju proračuna Općine Donja Dubrava za razdoblje od 01. siječnja do 31. prosinca 2025. godine iskazuje realizaciju Proračuna Općine Donja Dubrava u skladu sa sadržajem Proračuna, propisanim Zakonom o proračunu i Pravilnikom o polugodišnjem i godišnjem izvještaju o izvršenju proračuna i financijskog plana. Proračun Općine Donja Dubrava za 2025. godinu donesen je na sjednici Općinskog vijeća Općine Donja Dubrava dana 17. prosinca 2024. godine, a objavljen je u Službenom glasniku Međimurske županije 31/24. </w:t>
      </w:r>
      <w:r w:rsidRPr="008C6E92">
        <w:rPr>
          <w:lang w:val="pl-PL"/>
        </w:rPr>
        <w:t>U izvještajnom razdoblju donijete su 4. Izmjene i dopune Proračuna za 2025. godinu. Općina Donja Dubrava ima jednog proračunskog korisnika, Dječji vrtić Klinčec, za koji Općina ima obvezu uključivanja svih prihoda i primitaka, rashoda i izdataka u proračun Općine, sukladno ekonomskoj, programskoj, funkcijskoj i organizacijskoj klasifikaciji te izvorima financiranja. To znači da Općina Donja Dubrava mora osigurati izvještajno praćenje ostvarivanja vlastitih i namjenskih prihoda i primitaka proračunskog korisnika, kao i njihova trošenja. Ovi podaci moraju biti uključeni u godišnji izvještaj o izvršenju proračuna Općine Donja Dubrava</w:t>
      </w:r>
      <w:r w:rsidRPr="000E79B8">
        <w:rPr>
          <w:lang w:val="pl-PL"/>
        </w:rPr>
        <w:t xml:space="preserve">. Budući da se pri izradi konsolidiranih proračuna jedinica lokalne i područne (regionalne) samouprave prihodi koje proračunski korisnici ostvaruju iz nadležnog proračuna (konto 671) i prijenosi proračunskim korisnicima iz nadležnog proračuna za financiranje redovne djelatnosti (konto 367) međusobno sučeljavaju, u konsolidiranom proračunu Općine Donja Dubrava u ukupnim prihodima eliminirani su prihodi Dječjeg vrtića Klinčec koje Dječji vrtić ostvaruje iz proračuna Općine Donja Dubrava za financiranje redovne djelatnosti (skupina 671) i rashodi Općine Donja Dubrava za financiranje redovne djelatnosti Dječjeg vrtića Klinčec(skupina 367). </w:t>
      </w:r>
    </w:p>
    <w:p w14:paraId="57AA5AEF" w14:textId="77777777" w:rsidR="008C6E92" w:rsidRPr="008C6E92" w:rsidRDefault="008C6E92" w:rsidP="008C6E92">
      <w:pPr>
        <w:jc w:val="both"/>
        <w:rPr>
          <w:lang w:val="pl-PL"/>
        </w:rPr>
      </w:pPr>
      <w:r w:rsidRPr="008C6E92">
        <w:rPr>
          <w:lang w:val="pl-PL"/>
        </w:rPr>
        <w:t xml:space="preserve">Zakonom o proračunu (NN 144/21) te Pravilnikom o polugodišnjem i godišnjem izvještaju o izvršenju proračuna (NN 85/23) propisan je sadržaj Godišnjeg izvještaja o izvršenju proračuna koji se sastoji od: </w:t>
      </w:r>
    </w:p>
    <w:p w14:paraId="3D6F6368" w14:textId="77777777" w:rsidR="008C6E92" w:rsidRPr="008C6E92" w:rsidRDefault="008C6E92" w:rsidP="008C6E92">
      <w:pPr>
        <w:jc w:val="both"/>
        <w:rPr>
          <w:lang w:val="pl-PL"/>
        </w:rPr>
      </w:pPr>
      <w:r w:rsidRPr="008C6E92">
        <w:rPr>
          <w:lang w:val="pl-PL"/>
        </w:rPr>
        <w:t xml:space="preserve">• općeg dijela polugodišnjeg i godišnjeg izvještaja o izvršenju proračuna, </w:t>
      </w:r>
    </w:p>
    <w:p w14:paraId="1AEE3A9A" w14:textId="77777777" w:rsidR="00110E2F" w:rsidRDefault="008C6E92" w:rsidP="008C6E92">
      <w:pPr>
        <w:jc w:val="both"/>
        <w:rPr>
          <w:lang w:val="pl-PL"/>
        </w:rPr>
      </w:pPr>
      <w:r w:rsidRPr="008C6E92">
        <w:rPr>
          <w:lang w:val="pl-PL"/>
        </w:rPr>
        <w:t xml:space="preserve">• posebnog dijela proračuna, </w:t>
      </w:r>
    </w:p>
    <w:p w14:paraId="03450A84" w14:textId="404AE14A" w:rsidR="008C6E92" w:rsidRPr="008C6E92" w:rsidRDefault="008C6E92" w:rsidP="008C6E92">
      <w:pPr>
        <w:jc w:val="both"/>
        <w:rPr>
          <w:lang w:val="pl-PL"/>
        </w:rPr>
      </w:pPr>
      <w:r w:rsidRPr="008C6E92">
        <w:rPr>
          <w:lang w:val="pl-PL"/>
        </w:rPr>
        <w:t xml:space="preserve">• obrazloženja godišnjeg izvještaja o izvršenju proračuna te </w:t>
      </w:r>
    </w:p>
    <w:p w14:paraId="0AB10D3F" w14:textId="77777777" w:rsidR="008C6E92" w:rsidRPr="008C6E92" w:rsidRDefault="008C6E92" w:rsidP="008C6E92">
      <w:pPr>
        <w:jc w:val="both"/>
        <w:rPr>
          <w:lang w:val="pl-PL"/>
        </w:rPr>
      </w:pPr>
      <w:r w:rsidRPr="008C6E92">
        <w:rPr>
          <w:lang w:val="pl-PL"/>
        </w:rPr>
        <w:t xml:space="preserve">• posebnih izvještaja. </w:t>
      </w:r>
    </w:p>
    <w:p w14:paraId="4555F292" w14:textId="77777777" w:rsidR="008C6E92" w:rsidRPr="008C6E92" w:rsidRDefault="008C6E92" w:rsidP="008C6E92">
      <w:pPr>
        <w:jc w:val="both"/>
        <w:rPr>
          <w:lang w:val="pl-PL"/>
        </w:rPr>
      </w:pPr>
      <w:r w:rsidRPr="008C6E92">
        <w:rPr>
          <w:lang w:val="pl-PL"/>
        </w:rPr>
        <w:t xml:space="preserve">Obrazloženje Godišnjeg izvještaja o izvršenju proračuna Općine Donja Dubrava sastoji se od obrazloženja općeg i posebnog dijela izvještaja o izvršenju proračuna Općine Donja Dubrava za razdoblje od 01.01. do 31.12.2025. godine. </w:t>
      </w:r>
    </w:p>
    <w:p w14:paraId="4D4D15A7" w14:textId="77777777" w:rsidR="00651592" w:rsidRPr="004A0AD3" w:rsidRDefault="00651592" w:rsidP="00651592">
      <w:pPr>
        <w:ind w:left="720"/>
        <w:jc w:val="both"/>
        <w:rPr>
          <w:bCs/>
          <w:szCs w:val="24"/>
          <w:lang w:val="hr-HR"/>
        </w:rPr>
      </w:pPr>
    </w:p>
    <w:p w14:paraId="55383254" w14:textId="5202B13F" w:rsidR="005F456D" w:rsidRDefault="00110E2F" w:rsidP="005F456D">
      <w:pPr>
        <w:pStyle w:val="Odlomakpopisa"/>
        <w:numPr>
          <w:ilvl w:val="0"/>
          <w:numId w:val="2"/>
        </w:numPr>
        <w:jc w:val="both"/>
        <w:rPr>
          <w:b/>
          <w:bCs/>
          <w:szCs w:val="24"/>
          <w:lang w:val="hr-HR"/>
        </w:rPr>
      </w:pPr>
      <w:r>
        <w:rPr>
          <w:b/>
          <w:bCs/>
          <w:szCs w:val="24"/>
          <w:lang w:val="hr-HR"/>
        </w:rPr>
        <w:t>OBRAZLOŽENJE OPĆEG DIJELA GODIŠNJEG IZVJEŠTAJA O IZVRŠENJU PRORAČUNA OPĆINE DONJA DUBRAVA I PRORAČUNSKOG KORISNIKA DJEČJI VRTIĆ KLINČEC</w:t>
      </w:r>
    </w:p>
    <w:p w14:paraId="344C069C" w14:textId="77777777" w:rsidR="00110E2F" w:rsidRDefault="00110E2F" w:rsidP="00110E2F">
      <w:pPr>
        <w:jc w:val="both"/>
        <w:rPr>
          <w:b/>
          <w:bCs/>
          <w:szCs w:val="24"/>
          <w:lang w:val="hr-HR"/>
        </w:rPr>
      </w:pPr>
    </w:p>
    <w:p w14:paraId="50FEF2B5" w14:textId="0B413115" w:rsidR="00110E2F" w:rsidRPr="00110E2F" w:rsidRDefault="00110E2F" w:rsidP="00110E2F">
      <w:pPr>
        <w:jc w:val="both"/>
        <w:rPr>
          <w:szCs w:val="24"/>
          <w:lang w:val="hr-HR"/>
        </w:rPr>
      </w:pPr>
      <w:r w:rsidRPr="00110E2F">
        <w:rPr>
          <w:szCs w:val="24"/>
          <w:lang w:val="hr-HR"/>
        </w:rPr>
        <w:t xml:space="preserve">U skladu članka 1. Pravilnikom o polugodišnjem i godišnjem izvještaju o izvršenju proračuna (NN 85/23) u općem se dijelu proračuna daju podaci o izvršenju za isto izvještajno razdoblje prethodne godine (do četvrte razine), podaci iz aktualnog plana te podaci izvršenja za izvještajno razdoblje tekuće godine (također na četvrtoj razini računskog plana proračuna). Uz navedene podatke daju se i indeksi izvršenja u odnosu na izvještajno razdoblje prethodne godine i u odnosu na plan za proračunsku godinu. Obrazloženje općeg dijela godišnjeg izvještaja o izvršenju Proračuna sastoji se od: obrazloženja ostvarenja prihoda i rashoda, primitaka i izdataka u izvještajnom razdoblju te prikaz manjka, odnosno viška proračuna jedinice lokalne i </w:t>
      </w:r>
      <w:r w:rsidRPr="00110E2F">
        <w:rPr>
          <w:szCs w:val="24"/>
          <w:lang w:val="hr-HR"/>
        </w:rPr>
        <w:lastRenderedPageBreak/>
        <w:t>područne (regionalne) samouprave. Obrazloženje uz gore navedeno sadrži i podatke o stanju novčanih sredstava na računima proračuna i proračunskih korisnika na početku i na kraju proračunske godine.</w:t>
      </w:r>
    </w:p>
    <w:p w14:paraId="46C2AC66" w14:textId="77777777" w:rsidR="00110E2F" w:rsidRPr="00110E2F" w:rsidRDefault="00110E2F" w:rsidP="00110E2F">
      <w:pPr>
        <w:jc w:val="both"/>
        <w:rPr>
          <w:szCs w:val="24"/>
          <w:lang w:val="hr-HR"/>
        </w:rPr>
      </w:pPr>
    </w:p>
    <w:p w14:paraId="7367368A" w14:textId="48F030FB" w:rsidR="005F456D" w:rsidRPr="000E79B8" w:rsidRDefault="005F456D" w:rsidP="00110E2F">
      <w:pPr>
        <w:jc w:val="both"/>
        <w:rPr>
          <w:b/>
          <w:bCs/>
          <w:szCs w:val="24"/>
          <w:lang w:val="hr-HR"/>
        </w:rPr>
      </w:pPr>
      <w:r w:rsidRPr="000E79B8">
        <w:rPr>
          <w:bCs/>
          <w:szCs w:val="24"/>
          <w:lang w:val="hr-HR"/>
        </w:rPr>
        <w:t xml:space="preserve">Iz sažetka </w:t>
      </w:r>
      <w:r w:rsidRPr="000E79B8">
        <w:rPr>
          <w:b/>
          <w:bCs/>
          <w:szCs w:val="24"/>
          <w:lang w:val="hr-HR"/>
        </w:rPr>
        <w:t xml:space="preserve">Računa prihoda i rashoda </w:t>
      </w:r>
      <w:r w:rsidRPr="000E79B8">
        <w:rPr>
          <w:bCs/>
          <w:szCs w:val="24"/>
          <w:lang w:val="hr-HR"/>
        </w:rPr>
        <w:t xml:space="preserve">vidljivo je da su u izvještajnom razdoblju ostvareni prihodi i primici od </w:t>
      </w:r>
      <w:r w:rsidR="00823F45" w:rsidRPr="000E79B8">
        <w:rPr>
          <w:b/>
          <w:bCs/>
          <w:szCs w:val="24"/>
          <w:lang w:val="hr-HR"/>
        </w:rPr>
        <w:t>2.182.225,63</w:t>
      </w:r>
      <w:r w:rsidR="008772BF" w:rsidRPr="000E79B8">
        <w:rPr>
          <w:b/>
          <w:bCs/>
          <w:szCs w:val="24"/>
          <w:lang w:val="hr-HR"/>
        </w:rPr>
        <w:t xml:space="preserve"> €</w:t>
      </w:r>
      <w:r w:rsidRPr="000E79B8">
        <w:rPr>
          <w:bCs/>
          <w:szCs w:val="24"/>
          <w:lang w:val="hr-HR"/>
        </w:rPr>
        <w:t xml:space="preserve"> i realizirani rashodi i izdaci u visini </w:t>
      </w:r>
      <w:r w:rsidR="00823F45" w:rsidRPr="000E79B8">
        <w:rPr>
          <w:b/>
          <w:bCs/>
          <w:szCs w:val="24"/>
          <w:lang w:val="hr-HR"/>
        </w:rPr>
        <w:t>3.450.106,07</w:t>
      </w:r>
      <w:r w:rsidR="008772BF" w:rsidRPr="000E79B8">
        <w:rPr>
          <w:b/>
          <w:bCs/>
          <w:szCs w:val="24"/>
          <w:lang w:val="hr-HR"/>
        </w:rPr>
        <w:t xml:space="preserve"> €</w:t>
      </w:r>
      <w:r w:rsidRPr="000E79B8">
        <w:rPr>
          <w:b/>
          <w:bCs/>
          <w:szCs w:val="24"/>
          <w:lang w:val="hr-HR"/>
        </w:rPr>
        <w:t xml:space="preserve">, </w:t>
      </w:r>
      <w:r w:rsidRPr="000E79B8">
        <w:rPr>
          <w:bCs/>
          <w:szCs w:val="24"/>
          <w:lang w:val="hr-HR"/>
        </w:rPr>
        <w:t xml:space="preserve">te je pribrojen višak prihoda iz prethodne godine od </w:t>
      </w:r>
      <w:r w:rsidR="00823F45" w:rsidRPr="000E79B8">
        <w:rPr>
          <w:b/>
          <w:bCs/>
          <w:szCs w:val="24"/>
          <w:lang w:val="hr-HR"/>
        </w:rPr>
        <w:t>420.717,52</w:t>
      </w:r>
      <w:r w:rsidR="00296C09" w:rsidRPr="000E79B8">
        <w:rPr>
          <w:b/>
          <w:bCs/>
          <w:szCs w:val="24"/>
          <w:lang w:val="hr-HR"/>
        </w:rPr>
        <w:t xml:space="preserve"> </w:t>
      </w:r>
      <w:r w:rsidR="008772BF" w:rsidRPr="000E79B8">
        <w:rPr>
          <w:b/>
          <w:bCs/>
          <w:szCs w:val="24"/>
          <w:lang w:val="hr-HR"/>
        </w:rPr>
        <w:t xml:space="preserve">€ </w:t>
      </w:r>
      <w:r w:rsidRPr="000E79B8">
        <w:rPr>
          <w:bCs/>
          <w:szCs w:val="24"/>
          <w:lang w:val="hr-HR"/>
        </w:rPr>
        <w:t xml:space="preserve">pa je rezultat na kraju izvještajnog razdoblja </w:t>
      </w:r>
      <w:r w:rsidR="00823F45" w:rsidRPr="000E79B8">
        <w:rPr>
          <w:b/>
          <w:bCs/>
          <w:szCs w:val="24"/>
          <w:lang w:val="hr-HR"/>
        </w:rPr>
        <w:t>negativan</w:t>
      </w:r>
      <w:r w:rsidRPr="000E79B8">
        <w:rPr>
          <w:b/>
          <w:bCs/>
          <w:szCs w:val="24"/>
          <w:lang w:val="hr-HR"/>
        </w:rPr>
        <w:t xml:space="preserve"> i iznosi </w:t>
      </w:r>
      <w:r w:rsidR="00823F45" w:rsidRPr="000E79B8">
        <w:rPr>
          <w:b/>
          <w:bCs/>
          <w:szCs w:val="24"/>
          <w:lang w:val="hr-HR"/>
        </w:rPr>
        <w:t>847.162,92</w:t>
      </w:r>
      <w:r w:rsidR="008772BF" w:rsidRPr="000E79B8">
        <w:rPr>
          <w:b/>
          <w:bCs/>
          <w:szCs w:val="24"/>
          <w:lang w:val="hr-HR"/>
        </w:rPr>
        <w:t xml:space="preserve"> €.</w:t>
      </w:r>
      <w:r w:rsidRPr="000E79B8">
        <w:rPr>
          <w:b/>
          <w:bCs/>
          <w:szCs w:val="24"/>
          <w:lang w:val="hr-HR"/>
        </w:rPr>
        <w:t xml:space="preserve"> </w:t>
      </w:r>
    </w:p>
    <w:p w14:paraId="59A43328" w14:textId="666BE210" w:rsidR="005F456D" w:rsidRDefault="006621E7" w:rsidP="00110E2F">
      <w:pPr>
        <w:jc w:val="both"/>
        <w:rPr>
          <w:b/>
          <w:bCs/>
          <w:szCs w:val="24"/>
          <w:lang w:val="hr-HR"/>
        </w:rPr>
      </w:pPr>
      <w:r w:rsidRPr="000E79B8">
        <w:rPr>
          <w:bCs/>
          <w:szCs w:val="24"/>
          <w:lang w:val="hr-HR"/>
        </w:rPr>
        <w:t>Budući da se u g</w:t>
      </w:r>
      <w:r w:rsidR="005F456D" w:rsidRPr="000E79B8">
        <w:rPr>
          <w:bCs/>
          <w:szCs w:val="24"/>
          <w:lang w:val="hr-HR"/>
        </w:rPr>
        <w:t>odišnjem izvještaju o izvršenju proračuna za 20</w:t>
      </w:r>
      <w:r w:rsidR="00FC1E2D" w:rsidRPr="000E79B8">
        <w:rPr>
          <w:bCs/>
          <w:szCs w:val="24"/>
          <w:lang w:val="hr-HR"/>
        </w:rPr>
        <w:t>2</w:t>
      </w:r>
      <w:r w:rsidR="00823F45" w:rsidRPr="000E79B8">
        <w:rPr>
          <w:bCs/>
          <w:szCs w:val="24"/>
          <w:lang w:val="hr-HR"/>
        </w:rPr>
        <w:t>5</w:t>
      </w:r>
      <w:r w:rsidR="005F456D" w:rsidRPr="000E79B8">
        <w:rPr>
          <w:bCs/>
          <w:szCs w:val="24"/>
          <w:lang w:val="hr-HR"/>
        </w:rPr>
        <w:t>. godinu prikazuju ostvareni vlastiti i namjenski prihodi proračunsk</w:t>
      </w:r>
      <w:r w:rsidR="009A4666" w:rsidRPr="000E79B8">
        <w:rPr>
          <w:bCs/>
          <w:szCs w:val="24"/>
          <w:lang w:val="hr-HR"/>
        </w:rPr>
        <w:t>og</w:t>
      </w:r>
      <w:r w:rsidR="00823F45" w:rsidRPr="000E79B8">
        <w:rPr>
          <w:bCs/>
          <w:szCs w:val="24"/>
          <w:lang w:val="hr-HR"/>
        </w:rPr>
        <w:t xml:space="preserve"> korisnika</w:t>
      </w:r>
      <w:r w:rsidR="005F456D" w:rsidRPr="000E79B8">
        <w:rPr>
          <w:bCs/>
          <w:szCs w:val="24"/>
          <w:lang w:val="hr-HR"/>
        </w:rPr>
        <w:t xml:space="preserve">, jednako kao i rashodi koji se financiraju iz tih sredstava ukupni </w:t>
      </w:r>
      <w:r w:rsidR="005F456D" w:rsidRPr="000E79B8">
        <w:rPr>
          <w:b/>
          <w:bCs/>
          <w:szCs w:val="24"/>
          <w:lang w:val="hr-HR"/>
        </w:rPr>
        <w:t>rezultat poslovanja na dan 31.12.20</w:t>
      </w:r>
      <w:r w:rsidR="00FC1E2D" w:rsidRPr="000E79B8">
        <w:rPr>
          <w:b/>
          <w:bCs/>
          <w:szCs w:val="24"/>
          <w:lang w:val="hr-HR"/>
        </w:rPr>
        <w:t>2</w:t>
      </w:r>
      <w:r w:rsidR="00823F45" w:rsidRPr="000E79B8">
        <w:rPr>
          <w:b/>
          <w:bCs/>
          <w:szCs w:val="24"/>
          <w:lang w:val="hr-HR"/>
        </w:rPr>
        <w:t>5</w:t>
      </w:r>
      <w:r w:rsidR="005F456D" w:rsidRPr="000E79B8">
        <w:rPr>
          <w:b/>
          <w:bCs/>
          <w:szCs w:val="24"/>
          <w:lang w:val="hr-HR"/>
        </w:rPr>
        <w:t>. godine je zbroj rezultata poslovanja Dječjeg vrtića K</w:t>
      </w:r>
      <w:r w:rsidR="009A4666" w:rsidRPr="000E79B8">
        <w:rPr>
          <w:b/>
          <w:bCs/>
          <w:szCs w:val="24"/>
          <w:lang w:val="hr-HR"/>
        </w:rPr>
        <w:t>linčec</w:t>
      </w:r>
      <w:r w:rsidR="00823F45" w:rsidRPr="000E79B8">
        <w:rPr>
          <w:b/>
          <w:bCs/>
          <w:szCs w:val="24"/>
          <w:lang w:val="hr-HR"/>
        </w:rPr>
        <w:t xml:space="preserve"> - višak</w:t>
      </w:r>
      <w:r w:rsidR="009A4666" w:rsidRPr="000E79B8">
        <w:rPr>
          <w:b/>
          <w:bCs/>
          <w:szCs w:val="24"/>
          <w:lang w:val="hr-HR"/>
        </w:rPr>
        <w:t xml:space="preserve"> </w:t>
      </w:r>
      <w:r w:rsidR="005F456D" w:rsidRPr="000E79B8">
        <w:rPr>
          <w:b/>
          <w:bCs/>
          <w:szCs w:val="24"/>
          <w:lang w:val="hr-HR"/>
        </w:rPr>
        <w:t xml:space="preserve">od </w:t>
      </w:r>
      <w:r w:rsidR="00823F45" w:rsidRPr="000E79B8">
        <w:rPr>
          <w:b/>
          <w:bCs/>
          <w:szCs w:val="24"/>
          <w:lang w:val="hr-HR"/>
        </w:rPr>
        <w:t>2.608,58</w:t>
      </w:r>
      <w:r w:rsidR="008772BF" w:rsidRPr="000E79B8">
        <w:rPr>
          <w:b/>
          <w:bCs/>
          <w:szCs w:val="24"/>
          <w:lang w:val="hr-HR"/>
        </w:rPr>
        <w:t xml:space="preserve"> €</w:t>
      </w:r>
      <w:r w:rsidR="00E836AC" w:rsidRPr="000E79B8">
        <w:rPr>
          <w:b/>
          <w:bCs/>
          <w:szCs w:val="24"/>
          <w:lang w:val="hr-HR"/>
        </w:rPr>
        <w:t xml:space="preserve"> i </w:t>
      </w:r>
      <w:r w:rsidR="005F456D" w:rsidRPr="000E79B8">
        <w:rPr>
          <w:b/>
          <w:bCs/>
          <w:szCs w:val="24"/>
          <w:lang w:val="hr-HR"/>
        </w:rPr>
        <w:t xml:space="preserve">Općine </w:t>
      </w:r>
      <w:r w:rsidR="009A4666" w:rsidRPr="000E79B8">
        <w:rPr>
          <w:b/>
          <w:bCs/>
          <w:szCs w:val="24"/>
          <w:lang w:val="hr-HR"/>
        </w:rPr>
        <w:t>Donja Dubrava</w:t>
      </w:r>
      <w:r w:rsidR="005F456D" w:rsidRPr="000E79B8">
        <w:rPr>
          <w:b/>
          <w:bCs/>
          <w:szCs w:val="24"/>
          <w:lang w:val="hr-HR"/>
        </w:rPr>
        <w:t xml:space="preserve"> </w:t>
      </w:r>
      <w:r w:rsidR="00823F45" w:rsidRPr="000E79B8">
        <w:rPr>
          <w:b/>
          <w:bCs/>
          <w:szCs w:val="24"/>
          <w:lang w:val="hr-HR"/>
        </w:rPr>
        <w:t xml:space="preserve">– manjak </w:t>
      </w:r>
      <w:r w:rsidR="005F456D" w:rsidRPr="000E79B8">
        <w:rPr>
          <w:b/>
          <w:bCs/>
          <w:szCs w:val="24"/>
          <w:lang w:val="hr-HR"/>
        </w:rPr>
        <w:t xml:space="preserve">od </w:t>
      </w:r>
      <w:r w:rsidR="00823F45" w:rsidRPr="000E79B8">
        <w:rPr>
          <w:b/>
          <w:bCs/>
          <w:szCs w:val="24"/>
          <w:lang w:val="hr-HR"/>
        </w:rPr>
        <w:t>849.771,50</w:t>
      </w:r>
      <w:r w:rsidR="008772BF" w:rsidRPr="000E79B8">
        <w:rPr>
          <w:b/>
          <w:bCs/>
          <w:szCs w:val="24"/>
          <w:lang w:val="hr-HR"/>
        </w:rPr>
        <w:t xml:space="preserve"> €</w:t>
      </w:r>
      <w:r w:rsidR="005F456D" w:rsidRPr="000E79B8">
        <w:rPr>
          <w:b/>
          <w:bCs/>
          <w:szCs w:val="24"/>
          <w:lang w:val="hr-HR"/>
        </w:rPr>
        <w:t>.</w:t>
      </w:r>
    </w:p>
    <w:p w14:paraId="2CFE9671" w14:textId="77777777" w:rsidR="008029C4" w:rsidRDefault="008029C4" w:rsidP="00110E2F">
      <w:pPr>
        <w:jc w:val="both"/>
        <w:rPr>
          <w:b/>
          <w:bCs/>
          <w:szCs w:val="24"/>
          <w:lang w:val="hr-HR"/>
        </w:rPr>
      </w:pPr>
    </w:p>
    <w:p w14:paraId="1141824D" w14:textId="77777777" w:rsidR="008029C4" w:rsidRDefault="008029C4" w:rsidP="008029C4">
      <w:pPr>
        <w:jc w:val="both"/>
        <w:rPr>
          <w:bCs/>
          <w:szCs w:val="24"/>
          <w:lang w:val="hr-HR"/>
        </w:rPr>
      </w:pPr>
      <w:r w:rsidRPr="00A66B63">
        <w:rPr>
          <w:bCs/>
          <w:szCs w:val="24"/>
          <w:lang w:val="hr-HR"/>
        </w:rPr>
        <w:t xml:space="preserve">Stanje novčanih sredstava Općine Donja Dubrava i Dječjeg vrtića Klinčec na početku izvještajnog razdoblja (01.01.2025.) iznosilo je </w:t>
      </w:r>
      <w:r w:rsidRPr="00A66B63">
        <w:rPr>
          <w:bCs/>
          <w:szCs w:val="24"/>
        </w:rPr>
        <w:t>498.620,82</w:t>
      </w:r>
      <w:r w:rsidRPr="00A66B63">
        <w:rPr>
          <w:bCs/>
          <w:szCs w:val="24"/>
          <w:lang w:val="hr-HR"/>
        </w:rPr>
        <w:t xml:space="preserve"> eura, od čega ja na žiro-računu Općine  bilo 471.648,94 € i u blagajni 0,37 €, dok je na žiro računi Dječjeg vrtića bilo ukupno 26.969,56 €, a u blagajni 1,95 €. Novčana sredstva na kraju izvještajnog razdoblja tj. na dan 31.12.2025. godine iznose </w:t>
      </w:r>
      <w:r w:rsidRPr="00A66B63">
        <w:rPr>
          <w:bCs/>
          <w:szCs w:val="24"/>
        </w:rPr>
        <w:t xml:space="preserve">253.431,94 </w:t>
      </w:r>
      <w:r w:rsidRPr="00A66B63">
        <w:rPr>
          <w:bCs/>
          <w:szCs w:val="24"/>
          <w:lang w:val="hr-HR"/>
        </w:rPr>
        <w:t>€ te se odnose na sredstva na jedinstvenom žiro računu Općine u iznosu od 253.428,31 eura, dok je u blagajni Općine 1,68 €, a u blagajni Dječjeg vrtića 1,95 € koje je  Dječji vrtić obvezan prebaciti u blagajnu Općine. Zbog obveze uspostave objedinjene glavne knjige proračuna i proračunskog korisnika Vrtić je 30.12.2025. godine zatvorio svoj žiro račun te je svoja sredstva prenio na račun Općine koji postaje jedinstveni račun za poslovanje Općine i Vrtića.</w:t>
      </w:r>
    </w:p>
    <w:p w14:paraId="19306E03" w14:textId="77777777" w:rsidR="008029C4" w:rsidRDefault="008029C4" w:rsidP="008029C4">
      <w:pPr>
        <w:jc w:val="both"/>
        <w:rPr>
          <w:bCs/>
          <w:szCs w:val="24"/>
          <w:lang w:val="hr-HR"/>
        </w:rPr>
      </w:pPr>
    </w:p>
    <w:p w14:paraId="03DBB4D9" w14:textId="77777777" w:rsidR="008029C4" w:rsidRDefault="008029C4" w:rsidP="00110E2F">
      <w:pPr>
        <w:jc w:val="both"/>
        <w:rPr>
          <w:b/>
          <w:bCs/>
          <w:szCs w:val="24"/>
          <w:lang w:val="hr-HR"/>
        </w:rPr>
      </w:pPr>
    </w:p>
    <w:p w14:paraId="209C2515" w14:textId="77777777" w:rsidR="008029C4" w:rsidRDefault="008029C4" w:rsidP="008029C4">
      <w:pPr>
        <w:pStyle w:val="Odlomakpopisa"/>
        <w:numPr>
          <w:ilvl w:val="0"/>
          <w:numId w:val="2"/>
        </w:numPr>
        <w:jc w:val="both"/>
        <w:rPr>
          <w:b/>
          <w:bCs/>
          <w:szCs w:val="24"/>
          <w:lang w:val="hr-HR"/>
        </w:rPr>
      </w:pPr>
      <w:r>
        <w:rPr>
          <w:b/>
          <w:bCs/>
          <w:szCs w:val="24"/>
          <w:lang w:val="hr-HR"/>
        </w:rPr>
        <w:t>OBRAZLOŽENJE POSEBNOG DIJELA GODIŠNJEG IZVJEŠTAJA O IZVRŠENJU PRORAČUNA OPĆINE DONJA DUBRAVA I DJEČJEG VRTIĆA KLINČEC U 2025. GODINI</w:t>
      </w:r>
    </w:p>
    <w:p w14:paraId="3063E268" w14:textId="77777777" w:rsidR="00A30575" w:rsidRPr="000E79B8" w:rsidRDefault="00A30575" w:rsidP="00110E2F">
      <w:pPr>
        <w:jc w:val="both"/>
        <w:rPr>
          <w:b/>
          <w:bCs/>
          <w:szCs w:val="24"/>
          <w:lang w:val="hr-HR"/>
        </w:rPr>
      </w:pPr>
    </w:p>
    <w:p w14:paraId="0BEAD591" w14:textId="77777777" w:rsidR="00A30575" w:rsidRPr="000E79B8" w:rsidRDefault="00A30575" w:rsidP="00A30575">
      <w:pPr>
        <w:pStyle w:val="Uvuenotijeloteksta"/>
        <w:ind w:left="0"/>
        <w:rPr>
          <w:i w:val="0"/>
          <w:szCs w:val="24"/>
        </w:rPr>
      </w:pPr>
      <w:r w:rsidRPr="000E79B8">
        <w:rPr>
          <w:i w:val="0"/>
          <w:szCs w:val="24"/>
        </w:rPr>
        <w:t xml:space="preserve">PRIHODI I PRIMICI: </w:t>
      </w:r>
    </w:p>
    <w:p w14:paraId="38AB2F4F" w14:textId="47651531" w:rsidR="00A30575" w:rsidRPr="000E79B8" w:rsidRDefault="00A30575" w:rsidP="00A30575">
      <w:pPr>
        <w:pStyle w:val="Uvuenotijeloteksta"/>
        <w:ind w:left="0"/>
        <w:rPr>
          <w:i w:val="0"/>
          <w:szCs w:val="24"/>
        </w:rPr>
      </w:pPr>
      <w:r w:rsidRPr="000E79B8">
        <w:rPr>
          <w:i w:val="0"/>
          <w:szCs w:val="24"/>
        </w:rPr>
        <w:t xml:space="preserve">Ukupni prihod u 2025. godine iznose </w:t>
      </w:r>
      <w:r w:rsidRPr="000E79B8">
        <w:rPr>
          <w:rStyle w:val="fontstyle01"/>
          <w:rFonts w:ascii="Times New Roman" w:hAnsi="Times New Roman" w:cs="Times New Roman"/>
          <w:b w:val="0"/>
          <w:bCs/>
          <w:i w:val="0"/>
          <w:iCs/>
          <w:color w:val="auto"/>
          <w:sz w:val="24"/>
          <w:szCs w:val="24"/>
        </w:rPr>
        <w:t>2.182.225,63 €</w:t>
      </w:r>
      <w:r w:rsidRPr="000E79B8">
        <w:rPr>
          <w:i w:val="0"/>
          <w:szCs w:val="24"/>
        </w:rPr>
        <w:t xml:space="preserve"> što je  68,64% od planiranih sredstava. U prihodima i primicima su prikazani prihodi proračunskog korisnika koji iznose 222.355,63 €.</w:t>
      </w:r>
    </w:p>
    <w:p w14:paraId="1A42B5DE" w14:textId="77777777" w:rsidR="00A30575" w:rsidRPr="000E79B8" w:rsidRDefault="00A30575" w:rsidP="00A30575">
      <w:pPr>
        <w:pStyle w:val="Uvuenotijeloteksta"/>
        <w:ind w:left="0"/>
        <w:rPr>
          <w:i w:val="0"/>
          <w:szCs w:val="24"/>
        </w:rPr>
      </w:pPr>
      <w:r w:rsidRPr="000E79B8">
        <w:rPr>
          <w:i w:val="0"/>
          <w:szCs w:val="24"/>
        </w:rPr>
        <w:t xml:space="preserve">Prihodi skupine </w:t>
      </w:r>
      <w:r w:rsidRPr="000E79B8">
        <w:rPr>
          <w:b/>
          <w:i w:val="0"/>
          <w:szCs w:val="24"/>
        </w:rPr>
        <w:t>61</w:t>
      </w:r>
      <w:r w:rsidRPr="000E79B8">
        <w:rPr>
          <w:i w:val="0"/>
          <w:szCs w:val="24"/>
        </w:rPr>
        <w:t xml:space="preserve"> odnose se na prihode od poreza, ostvareno je 107,43% planiranih sredstava</w:t>
      </w:r>
    </w:p>
    <w:p w14:paraId="0C47BE73" w14:textId="77777777" w:rsidR="00A30575" w:rsidRPr="000E79B8" w:rsidRDefault="00A30575" w:rsidP="00A30575">
      <w:pPr>
        <w:pStyle w:val="Uvuenotijeloteksta"/>
        <w:ind w:left="0"/>
        <w:rPr>
          <w:i w:val="0"/>
          <w:szCs w:val="24"/>
        </w:rPr>
      </w:pPr>
      <w:r w:rsidRPr="000E79B8">
        <w:rPr>
          <w:i w:val="0"/>
          <w:szCs w:val="24"/>
        </w:rPr>
        <w:t xml:space="preserve">Prihodi skupine </w:t>
      </w:r>
      <w:r w:rsidRPr="000E79B8">
        <w:rPr>
          <w:b/>
          <w:i w:val="0"/>
          <w:szCs w:val="24"/>
        </w:rPr>
        <w:t>63</w:t>
      </w:r>
      <w:r w:rsidRPr="000E79B8">
        <w:rPr>
          <w:i w:val="0"/>
          <w:szCs w:val="24"/>
        </w:rPr>
        <w:t xml:space="preserve">   su pomoći iz inozemstva i od subjekata unutar općeg proračuna, ostvareno je 50,21% planiranih sredstava. Razlog tome je predfinanciranje IC Palača međimurske popevke za koju se sredstva traže putem ZNS-ova, a do kraja tekuće godine nisu izvršene kontrole i podmirena potraživanja. Prihodi Dječjeg vrtića skupine 63 iznose 10.005,20 €.</w:t>
      </w:r>
    </w:p>
    <w:p w14:paraId="3761E91E" w14:textId="77777777" w:rsidR="00A30575" w:rsidRPr="000E79B8" w:rsidRDefault="00A30575" w:rsidP="00A30575">
      <w:pPr>
        <w:pStyle w:val="Uvuenotijeloteksta"/>
        <w:ind w:left="0"/>
        <w:rPr>
          <w:i w:val="0"/>
          <w:szCs w:val="24"/>
        </w:rPr>
      </w:pPr>
      <w:r w:rsidRPr="000E79B8">
        <w:rPr>
          <w:i w:val="0"/>
          <w:szCs w:val="24"/>
        </w:rPr>
        <w:t xml:space="preserve">Prihodi skupine </w:t>
      </w:r>
      <w:r w:rsidRPr="000E79B8">
        <w:rPr>
          <w:b/>
          <w:i w:val="0"/>
          <w:szCs w:val="24"/>
        </w:rPr>
        <w:t xml:space="preserve">64 </w:t>
      </w:r>
      <w:r w:rsidRPr="000E79B8">
        <w:rPr>
          <w:i w:val="0"/>
          <w:szCs w:val="24"/>
        </w:rPr>
        <w:t xml:space="preserve"> su prihodi od  imovine, ostvareno je 119,83% od planiranih sredstava. Veće odstupanje odnosi se na prihode od kamata na depozite po viđenju i prihode od legalizacije.</w:t>
      </w:r>
    </w:p>
    <w:p w14:paraId="4238E53C" w14:textId="2DB478C3" w:rsidR="00A30575" w:rsidRPr="000E79B8" w:rsidRDefault="00A30575" w:rsidP="00A30575">
      <w:pPr>
        <w:pStyle w:val="Uvuenotijeloteksta"/>
        <w:ind w:left="0"/>
        <w:rPr>
          <w:i w:val="0"/>
          <w:szCs w:val="24"/>
        </w:rPr>
      </w:pPr>
      <w:r w:rsidRPr="000E79B8">
        <w:rPr>
          <w:i w:val="0"/>
          <w:szCs w:val="24"/>
        </w:rPr>
        <w:t xml:space="preserve">Prihodi skupine </w:t>
      </w:r>
      <w:r w:rsidRPr="000E79B8">
        <w:rPr>
          <w:b/>
          <w:i w:val="0"/>
          <w:szCs w:val="24"/>
        </w:rPr>
        <w:t xml:space="preserve">65 </w:t>
      </w:r>
      <w:r w:rsidRPr="000E79B8">
        <w:rPr>
          <w:i w:val="0"/>
          <w:szCs w:val="24"/>
        </w:rPr>
        <w:t xml:space="preserve">su prihodi od upravnih i administrativnih pristojbi, pristojbi po posebnim propisima i naknada, </w:t>
      </w:r>
      <w:r w:rsidR="0017483A" w:rsidRPr="000E79B8">
        <w:rPr>
          <w:i w:val="0"/>
          <w:szCs w:val="24"/>
        </w:rPr>
        <w:t>ostvareno</w:t>
      </w:r>
      <w:r w:rsidRPr="000E79B8">
        <w:rPr>
          <w:i w:val="0"/>
          <w:szCs w:val="24"/>
        </w:rPr>
        <w:t xml:space="preserve"> je 106,14% od planiranih sredstava.. Prihodi Dječjeg vrtića skupine 65 iznose 91.137,93 €.</w:t>
      </w:r>
    </w:p>
    <w:p w14:paraId="1BBF17A0" w14:textId="77777777" w:rsidR="00A30575" w:rsidRPr="000E79B8" w:rsidRDefault="00A30575" w:rsidP="00A30575">
      <w:pPr>
        <w:pStyle w:val="Uvuenotijeloteksta"/>
        <w:ind w:left="0"/>
        <w:rPr>
          <w:i w:val="0"/>
          <w:szCs w:val="24"/>
        </w:rPr>
      </w:pPr>
      <w:r w:rsidRPr="000E79B8">
        <w:rPr>
          <w:i w:val="0"/>
          <w:szCs w:val="24"/>
        </w:rPr>
        <w:t xml:space="preserve">Prihodi skupine </w:t>
      </w:r>
      <w:r w:rsidRPr="000E79B8">
        <w:rPr>
          <w:b/>
          <w:i w:val="0"/>
          <w:szCs w:val="24"/>
        </w:rPr>
        <w:t xml:space="preserve">66 </w:t>
      </w:r>
      <w:r w:rsidRPr="000E79B8">
        <w:rPr>
          <w:i w:val="0"/>
          <w:szCs w:val="24"/>
        </w:rPr>
        <w:t>oodnose se na prihode Dječjeg vrtića iz Općine Donji Vidovec u iznosu 121.212,50 € i naknade koju plaćaju Hrvatske vode za uslugu vođenja naplate slivne vodne naknade.</w:t>
      </w:r>
    </w:p>
    <w:p w14:paraId="0CFA0D06" w14:textId="77777777" w:rsidR="00A30575" w:rsidRPr="000E79B8" w:rsidRDefault="00A30575" w:rsidP="00A30575">
      <w:pPr>
        <w:pStyle w:val="Uvuenotijeloteksta"/>
        <w:ind w:left="0"/>
        <w:rPr>
          <w:i w:val="0"/>
          <w:szCs w:val="24"/>
        </w:rPr>
      </w:pPr>
      <w:r w:rsidRPr="000E79B8">
        <w:rPr>
          <w:i w:val="0"/>
          <w:szCs w:val="24"/>
        </w:rPr>
        <w:lastRenderedPageBreak/>
        <w:t xml:space="preserve">Prihodi skupine </w:t>
      </w:r>
      <w:r w:rsidRPr="000E79B8">
        <w:rPr>
          <w:b/>
          <w:i w:val="0"/>
          <w:szCs w:val="24"/>
        </w:rPr>
        <w:t>71</w:t>
      </w:r>
      <w:r w:rsidRPr="000E79B8">
        <w:rPr>
          <w:i w:val="0"/>
          <w:szCs w:val="24"/>
        </w:rPr>
        <w:t xml:space="preserve"> su prihodi od prodaje poljoprivrednog i građevinskog zemljišta, ostvareno je 62,25% od planiranih sredstava iz razloga što nije naplaćanno jedno potraživanje za prodaju državnog zemljišta već je isto plaćeno početkom 2026. godine. </w:t>
      </w:r>
    </w:p>
    <w:p w14:paraId="6FD265FC" w14:textId="77777777" w:rsidR="00A30575" w:rsidRPr="000E79B8" w:rsidRDefault="00A30575" w:rsidP="00A30575">
      <w:pPr>
        <w:pStyle w:val="Uvuenotijeloteksta"/>
        <w:ind w:left="0"/>
        <w:rPr>
          <w:i w:val="0"/>
          <w:szCs w:val="24"/>
        </w:rPr>
      </w:pPr>
      <w:r w:rsidRPr="000E79B8">
        <w:rPr>
          <w:i w:val="0"/>
          <w:szCs w:val="24"/>
        </w:rPr>
        <w:t xml:space="preserve">Prihodi skupine </w:t>
      </w:r>
      <w:r w:rsidRPr="000E79B8">
        <w:rPr>
          <w:b/>
          <w:i w:val="0"/>
          <w:szCs w:val="24"/>
        </w:rPr>
        <w:t>72</w:t>
      </w:r>
      <w:r w:rsidRPr="000E79B8">
        <w:rPr>
          <w:i w:val="0"/>
          <w:szCs w:val="24"/>
        </w:rPr>
        <w:t xml:space="preserve"> su prihodi od prodaje društvenih stanova, ostvareno je 22,99% od planiranih sredstava odnosno 114,96 €.</w:t>
      </w:r>
    </w:p>
    <w:p w14:paraId="759F6756" w14:textId="77777777" w:rsidR="00A30575" w:rsidRDefault="00A30575" w:rsidP="008029C4">
      <w:pPr>
        <w:pStyle w:val="Uvuenotijeloteksta"/>
        <w:ind w:left="0"/>
        <w:rPr>
          <w:b/>
          <w:bCs w:val="0"/>
          <w:i w:val="0"/>
          <w:szCs w:val="24"/>
        </w:rPr>
      </w:pPr>
    </w:p>
    <w:p w14:paraId="139FC64C" w14:textId="77777777" w:rsidR="008029C4" w:rsidRDefault="008029C4" w:rsidP="008029C4">
      <w:pPr>
        <w:pStyle w:val="Uvuenotijeloteksta"/>
        <w:ind w:left="0"/>
        <w:rPr>
          <w:b/>
          <w:bCs w:val="0"/>
          <w:i w:val="0"/>
          <w:szCs w:val="24"/>
        </w:rPr>
      </w:pPr>
    </w:p>
    <w:p w14:paraId="1F1FC00D" w14:textId="77777777" w:rsidR="008029C4" w:rsidRDefault="008029C4" w:rsidP="008029C4">
      <w:pPr>
        <w:jc w:val="both"/>
        <w:rPr>
          <w:bCs/>
          <w:szCs w:val="24"/>
          <w:lang w:val="hr-HR"/>
        </w:rPr>
      </w:pPr>
      <w:r w:rsidRPr="00110E2F">
        <w:rPr>
          <w:bCs/>
          <w:szCs w:val="24"/>
          <w:lang w:val="hr-HR"/>
        </w:rPr>
        <w:t>U posebnom dijelu godišnjeg izvršenja proračuna rashodi i izdaci raspoređeni su da se poštuju sve zakonom propisane klasifikacije:</w:t>
      </w:r>
    </w:p>
    <w:p w14:paraId="201786DF" w14:textId="77777777" w:rsidR="008029C4" w:rsidRDefault="008029C4" w:rsidP="008029C4">
      <w:pPr>
        <w:jc w:val="both"/>
        <w:rPr>
          <w:bCs/>
          <w:szCs w:val="24"/>
          <w:lang w:val="hr-HR"/>
        </w:rPr>
      </w:pPr>
      <w:r w:rsidRPr="00110E2F">
        <w:rPr>
          <w:bCs/>
          <w:szCs w:val="24"/>
          <w:lang w:val="hr-HR"/>
        </w:rPr>
        <w:t xml:space="preserve"> • Organizacijska – rashodi i izdaci su razvrstani po razdjelima i glavama</w:t>
      </w:r>
    </w:p>
    <w:p w14:paraId="419DCBD0" w14:textId="77777777" w:rsidR="008029C4" w:rsidRDefault="008029C4" w:rsidP="008029C4">
      <w:pPr>
        <w:jc w:val="both"/>
        <w:rPr>
          <w:bCs/>
          <w:szCs w:val="24"/>
          <w:lang w:val="hr-HR"/>
        </w:rPr>
      </w:pPr>
      <w:r w:rsidRPr="00110E2F">
        <w:rPr>
          <w:bCs/>
          <w:szCs w:val="24"/>
          <w:lang w:val="hr-HR"/>
        </w:rPr>
        <w:t xml:space="preserve"> • Ekonomska – koriste se računi računskog plana</w:t>
      </w:r>
    </w:p>
    <w:p w14:paraId="5DA0CA3F" w14:textId="77777777" w:rsidR="008029C4" w:rsidRDefault="008029C4" w:rsidP="008029C4">
      <w:pPr>
        <w:jc w:val="both"/>
        <w:rPr>
          <w:bCs/>
          <w:szCs w:val="24"/>
          <w:lang w:val="hr-HR"/>
        </w:rPr>
      </w:pPr>
      <w:r w:rsidRPr="00110E2F">
        <w:rPr>
          <w:bCs/>
          <w:szCs w:val="24"/>
          <w:lang w:val="hr-HR"/>
        </w:rPr>
        <w:t xml:space="preserve"> • Programska – definirani su programi, aktivnosti i projekti.</w:t>
      </w:r>
      <w:r>
        <w:rPr>
          <w:bCs/>
          <w:szCs w:val="24"/>
          <w:lang w:val="hr-HR"/>
        </w:rPr>
        <w:t xml:space="preserve"> </w:t>
      </w:r>
      <w:r w:rsidRPr="00110E2F">
        <w:rPr>
          <w:bCs/>
          <w:szCs w:val="24"/>
          <w:lang w:val="hr-HR"/>
        </w:rPr>
        <w:t xml:space="preserve">Unutar razdjela i glava proračuna osnovne planske cjeline su programi što znači da su svi rashodi raspoređeni po programima koji se sastoje od aktivnosti i projekata vezanih za provođenje tih programa. Program se sastoji od jedne ili više aktivnosti i/ili projekata, a aktivnost i projekt pripadaju samo jednom programu. </w:t>
      </w:r>
    </w:p>
    <w:p w14:paraId="7C7BAB00" w14:textId="77777777" w:rsidR="008029C4" w:rsidRDefault="008029C4" w:rsidP="008029C4">
      <w:pPr>
        <w:jc w:val="both"/>
        <w:rPr>
          <w:bCs/>
          <w:szCs w:val="24"/>
          <w:lang w:val="hr-HR"/>
        </w:rPr>
      </w:pPr>
      <w:r w:rsidRPr="00110E2F">
        <w:rPr>
          <w:bCs/>
          <w:szCs w:val="24"/>
          <w:lang w:val="hr-HR"/>
        </w:rPr>
        <w:t>• Izvori financiranja – prihodi i primici grupirani su u skupine iz kojih se podmiruju rashodi i izdaci određene vrste i namjene što se provodi zbog praćenja namjenskog trošenja proračunskog novca. Izvori financiranja sadrže prihode i primitke iz kojih se podmiruju rashodi i izdaci</w:t>
      </w:r>
    </w:p>
    <w:p w14:paraId="73870D8D" w14:textId="77777777" w:rsidR="008029C4" w:rsidRPr="000E79B8" w:rsidRDefault="008029C4" w:rsidP="008029C4">
      <w:pPr>
        <w:pStyle w:val="Uvuenotijeloteksta"/>
        <w:ind w:left="0"/>
        <w:rPr>
          <w:b/>
          <w:bCs w:val="0"/>
          <w:i w:val="0"/>
          <w:szCs w:val="24"/>
        </w:rPr>
      </w:pPr>
    </w:p>
    <w:p w14:paraId="7F4C3291" w14:textId="77777777" w:rsidR="00A30575" w:rsidRPr="000E79B8" w:rsidRDefault="00A30575" w:rsidP="00A30575">
      <w:pPr>
        <w:pStyle w:val="Uvuenotijeloteksta"/>
        <w:rPr>
          <w:i w:val="0"/>
          <w:szCs w:val="24"/>
        </w:rPr>
      </w:pPr>
    </w:p>
    <w:p w14:paraId="293CED46" w14:textId="4806C94B" w:rsidR="00A30575" w:rsidRPr="000E79B8" w:rsidRDefault="00A30575" w:rsidP="00A30575">
      <w:pPr>
        <w:pStyle w:val="Uvuenotijeloteksta"/>
        <w:ind w:left="0"/>
        <w:rPr>
          <w:i w:val="0"/>
          <w:szCs w:val="24"/>
        </w:rPr>
      </w:pPr>
      <w:r w:rsidRPr="000E79B8">
        <w:rPr>
          <w:i w:val="0"/>
          <w:szCs w:val="24"/>
        </w:rPr>
        <w:t xml:space="preserve">RASHODI I IZDACI: </w:t>
      </w:r>
    </w:p>
    <w:p w14:paraId="21674F01" w14:textId="77777777" w:rsidR="00A30575" w:rsidRPr="000E79B8" w:rsidRDefault="00A30575" w:rsidP="00A30575">
      <w:pPr>
        <w:pStyle w:val="Uvuenotijeloteksta"/>
        <w:ind w:left="0"/>
        <w:rPr>
          <w:bCs w:val="0"/>
          <w:i w:val="0"/>
          <w:szCs w:val="24"/>
        </w:rPr>
      </w:pPr>
      <w:r w:rsidRPr="000E79B8">
        <w:rPr>
          <w:bCs w:val="0"/>
          <w:i w:val="0"/>
          <w:szCs w:val="24"/>
        </w:rPr>
        <w:t>Ukupni rashodi u 2025. godini iznose 3.399,671,51 € što je 74,97 % od planiranih sredstava dok su izdaci 50.434,56 € što je 98,89% planiranih sredstava.. U rashodima i izdacima su prikazani ostvareni rashodi i izdaci proračunskog korisnika koji iznose 442.241,60 €. U izvještaju po organizacijskoj klasifikaciji te programskoj klasifikaciji vidljivo je ostvarenje proračunskog korisnika od 185,04 % . Razlog tome je što je u proračunu općine sufinanciranje dječjeg vrtića planirano u Programu 1018 Predškolski odgoj u organizacijskoj klasifikaciji Razdjel 001 u iznosu 227.260,00 € i tamo je izvršenje 0,00%. Kad se taj iznos od 227.260,00 pribroji Programu 1018 Predškolski odgoj u organizacijsku klasifikaciju Razdjel 002 dolazimo do realnog ostvarenja Dječjeg vrtića 94,85% od planiranih sredstava. Time se ostvarenje Razdjela 001 smanjuje na 73,03%.</w:t>
      </w:r>
    </w:p>
    <w:p w14:paraId="04D2461D" w14:textId="77777777" w:rsidR="00A30575" w:rsidRDefault="00A30575" w:rsidP="00110E2F">
      <w:pPr>
        <w:jc w:val="both"/>
        <w:rPr>
          <w:b/>
          <w:bCs/>
          <w:color w:val="FF0000"/>
          <w:szCs w:val="24"/>
          <w:lang w:val="hr-HR"/>
        </w:rPr>
      </w:pPr>
    </w:p>
    <w:p w14:paraId="4A70A3DA" w14:textId="77777777" w:rsidR="00110E2F" w:rsidRPr="00A66B63" w:rsidRDefault="00110E2F" w:rsidP="008029C4">
      <w:pPr>
        <w:jc w:val="both"/>
        <w:rPr>
          <w:b/>
          <w:bCs/>
          <w:szCs w:val="24"/>
          <w:lang w:val="hr-HR"/>
        </w:rPr>
      </w:pPr>
    </w:p>
    <w:p w14:paraId="76B1A32A" w14:textId="77777777" w:rsidR="008029C4" w:rsidRPr="004A0AD3" w:rsidRDefault="008029C4" w:rsidP="008029C4">
      <w:pPr>
        <w:jc w:val="both"/>
        <w:rPr>
          <w:bCs/>
          <w:szCs w:val="24"/>
          <w:lang w:val="hr-HR"/>
        </w:rPr>
      </w:pPr>
      <w:r>
        <w:rPr>
          <w:bCs/>
          <w:szCs w:val="24"/>
          <w:lang w:val="hr-HR"/>
        </w:rPr>
        <w:t>PROGRAMI:</w:t>
      </w:r>
    </w:p>
    <w:p w14:paraId="3E7AE400" w14:textId="77777777" w:rsidR="008029C4" w:rsidRPr="004F3D9B" w:rsidRDefault="008029C4" w:rsidP="008029C4">
      <w:pPr>
        <w:pStyle w:val="StandardWeb"/>
        <w:spacing w:before="0" w:beforeAutospacing="0" w:after="0" w:afterAutospacing="0"/>
        <w:rPr>
          <w:u w:val="single"/>
        </w:rPr>
      </w:pPr>
      <w:r w:rsidRPr="004F3D9B">
        <w:rPr>
          <w:rStyle w:val="Naglaeno"/>
          <w:u w:val="single"/>
        </w:rPr>
        <w:t>Program 1001 Javna uprava i administracija</w:t>
      </w:r>
    </w:p>
    <w:p w14:paraId="0B899C62" w14:textId="77777777" w:rsidR="008029C4" w:rsidRDefault="008029C4" w:rsidP="008029C4">
      <w:pPr>
        <w:pStyle w:val="StandardWeb"/>
        <w:spacing w:before="0" w:beforeAutospacing="0" w:after="0" w:afterAutospacing="0"/>
      </w:pPr>
      <w:r>
        <w:t>Program 1001 Javna uprava i administracija odnosi se na osiguravanje redovitog i nesmetanog funkcioniranja rada općinske uprave te predstavničkih tijela.</w:t>
      </w:r>
    </w:p>
    <w:p w14:paraId="394120E9" w14:textId="77777777" w:rsidR="008029C4" w:rsidRDefault="008029C4" w:rsidP="008029C4">
      <w:pPr>
        <w:pStyle w:val="StandardWeb"/>
        <w:spacing w:before="0" w:beforeAutospacing="0" w:after="0" w:afterAutospacing="0"/>
      </w:pPr>
      <w:r>
        <w:t>U okviru programa planirani su i realizirani rashodi za:</w:t>
      </w:r>
    </w:p>
    <w:p w14:paraId="12986529" w14:textId="77777777" w:rsidR="008029C4" w:rsidRDefault="008029C4" w:rsidP="008029C4">
      <w:pPr>
        <w:pStyle w:val="StandardWeb"/>
        <w:numPr>
          <w:ilvl w:val="0"/>
          <w:numId w:val="4"/>
        </w:numPr>
        <w:spacing w:before="0" w:beforeAutospacing="0" w:after="0" w:afterAutospacing="0"/>
      </w:pPr>
      <w:r>
        <w:t>naknade članovima predstavničkih tijela</w:t>
      </w:r>
    </w:p>
    <w:p w14:paraId="7B6D998D" w14:textId="77777777" w:rsidR="008029C4" w:rsidRDefault="008029C4" w:rsidP="008029C4">
      <w:pPr>
        <w:pStyle w:val="StandardWeb"/>
        <w:numPr>
          <w:ilvl w:val="0"/>
          <w:numId w:val="4"/>
        </w:numPr>
        <w:spacing w:before="0" w:beforeAutospacing="0" w:after="0" w:afterAutospacing="0"/>
      </w:pPr>
      <w:r>
        <w:t>plaće i ostala materijalna prava službenika i namještenika</w:t>
      </w:r>
    </w:p>
    <w:p w14:paraId="36A8B740" w14:textId="77777777" w:rsidR="008029C4" w:rsidRDefault="008029C4" w:rsidP="008029C4">
      <w:pPr>
        <w:pStyle w:val="StandardWeb"/>
        <w:numPr>
          <w:ilvl w:val="0"/>
          <w:numId w:val="4"/>
        </w:numPr>
        <w:spacing w:before="0" w:beforeAutospacing="0" w:after="0" w:afterAutospacing="0"/>
      </w:pPr>
      <w:r>
        <w:t>doprinose na plaće</w:t>
      </w:r>
    </w:p>
    <w:p w14:paraId="018AE400" w14:textId="77777777" w:rsidR="008029C4" w:rsidRDefault="008029C4" w:rsidP="008029C4">
      <w:pPr>
        <w:pStyle w:val="StandardWeb"/>
        <w:numPr>
          <w:ilvl w:val="0"/>
          <w:numId w:val="4"/>
        </w:numPr>
        <w:spacing w:before="0" w:beforeAutospacing="0" w:after="0" w:afterAutospacing="0"/>
      </w:pPr>
      <w:r>
        <w:t>službena putovanja</w:t>
      </w:r>
    </w:p>
    <w:p w14:paraId="48598DFF" w14:textId="77777777" w:rsidR="008029C4" w:rsidRDefault="008029C4" w:rsidP="008029C4">
      <w:pPr>
        <w:pStyle w:val="StandardWeb"/>
        <w:numPr>
          <w:ilvl w:val="0"/>
          <w:numId w:val="4"/>
        </w:numPr>
        <w:spacing w:before="0" w:beforeAutospacing="0" w:after="0" w:afterAutospacing="0"/>
      </w:pPr>
      <w:r>
        <w:t>materijalne rashode (uredski materijal i ostali materijalni troškovi)</w:t>
      </w:r>
    </w:p>
    <w:p w14:paraId="2EA939BE" w14:textId="77777777" w:rsidR="008029C4" w:rsidRDefault="008029C4" w:rsidP="008029C4">
      <w:pPr>
        <w:pStyle w:val="StandardWeb"/>
        <w:numPr>
          <w:ilvl w:val="0"/>
          <w:numId w:val="4"/>
        </w:numPr>
        <w:spacing w:before="0" w:beforeAutospacing="0" w:after="0" w:afterAutospacing="0"/>
      </w:pPr>
      <w:r>
        <w:t>energiju (električna energija, plin i javna rasvjeta)</w:t>
      </w:r>
    </w:p>
    <w:p w14:paraId="2D19059E" w14:textId="77777777" w:rsidR="008029C4" w:rsidRDefault="008029C4" w:rsidP="008029C4">
      <w:pPr>
        <w:pStyle w:val="StandardWeb"/>
        <w:numPr>
          <w:ilvl w:val="0"/>
          <w:numId w:val="4"/>
        </w:numPr>
        <w:spacing w:before="0" w:beforeAutospacing="0" w:after="0" w:afterAutospacing="0"/>
      </w:pPr>
      <w:r>
        <w:lastRenderedPageBreak/>
        <w:t>financijske rashode, uključujući obveze po kreditima općine</w:t>
      </w:r>
    </w:p>
    <w:p w14:paraId="33F93ED6" w14:textId="77777777" w:rsidR="008029C4" w:rsidRDefault="008029C4" w:rsidP="008029C4">
      <w:pPr>
        <w:pStyle w:val="StandardWeb"/>
        <w:numPr>
          <w:ilvl w:val="0"/>
          <w:numId w:val="4"/>
        </w:numPr>
        <w:spacing w:before="0" w:beforeAutospacing="0" w:after="0" w:afterAutospacing="0"/>
      </w:pPr>
      <w:r>
        <w:t>ostale rashode poslovanja (materijal i dijelovi za tekuće i investicijsko održavanje)</w:t>
      </w:r>
    </w:p>
    <w:p w14:paraId="7BEC79AC" w14:textId="77777777" w:rsidR="008029C4" w:rsidRDefault="008029C4" w:rsidP="008029C4">
      <w:pPr>
        <w:pStyle w:val="StandardWeb"/>
        <w:numPr>
          <w:ilvl w:val="0"/>
          <w:numId w:val="4"/>
        </w:numPr>
        <w:spacing w:before="0" w:beforeAutospacing="0" w:after="0" w:afterAutospacing="0"/>
      </w:pPr>
      <w:r>
        <w:t>rashode za nabavu postrojenja i opreme</w:t>
      </w:r>
    </w:p>
    <w:p w14:paraId="3A04A4D6" w14:textId="77777777" w:rsidR="008029C4" w:rsidRDefault="008029C4" w:rsidP="008029C4">
      <w:pPr>
        <w:pStyle w:val="StandardWeb"/>
        <w:numPr>
          <w:ilvl w:val="0"/>
          <w:numId w:val="4"/>
        </w:numPr>
        <w:spacing w:before="0" w:beforeAutospacing="0" w:after="0" w:afterAutospacing="0"/>
      </w:pPr>
      <w:r>
        <w:t>troškove provedbe izbora održanih u svibnju prethodne godine</w:t>
      </w:r>
    </w:p>
    <w:p w14:paraId="5F346834" w14:textId="77777777" w:rsidR="008029C4" w:rsidRDefault="008029C4" w:rsidP="008029C4">
      <w:pPr>
        <w:pStyle w:val="StandardWeb"/>
        <w:spacing w:before="0" w:beforeAutospacing="0" w:after="0" w:afterAutospacing="0"/>
      </w:pPr>
      <w:r>
        <w:rPr>
          <w:rStyle w:val="Naglaeno"/>
        </w:rPr>
        <w:t>Cilj programa</w:t>
      </w:r>
      <w:r>
        <w:br/>
        <w:t>Cilj programa je osigurati učinkovito, transparentno i zakonito funkcioniranje javne uprave te stvaranje preduvjeta za kvalitetno pružanje usluga građanima.</w:t>
      </w:r>
    </w:p>
    <w:p w14:paraId="788E7126" w14:textId="77777777" w:rsidR="008029C4" w:rsidRDefault="008029C4" w:rsidP="008029C4">
      <w:pPr>
        <w:pStyle w:val="StandardWeb"/>
        <w:spacing w:before="0" w:beforeAutospacing="0" w:after="0" w:afterAutospacing="0"/>
      </w:pPr>
      <w:r>
        <w:rPr>
          <w:rStyle w:val="Naglaeno"/>
        </w:rPr>
        <w:t>Ostvarenje ciljeva</w:t>
      </w:r>
      <w:r>
        <w:br/>
        <w:t>Provedbom programa osigurano je kontinuirano obavljanje poslova iz djelokruga rada općine, redovita isplata plaća i naknada, podmirenje svih materijalnih i financijskih obveza te provedba zakonskih obveza, uključujući organizaciju i provedbu izbora.</w:t>
      </w:r>
    </w:p>
    <w:p w14:paraId="0B97ABFB" w14:textId="77777777" w:rsidR="008029C4" w:rsidRDefault="008029C4" w:rsidP="008029C4">
      <w:pPr>
        <w:pStyle w:val="StandardWeb"/>
        <w:spacing w:before="0" w:beforeAutospacing="0" w:after="0" w:afterAutospacing="0"/>
      </w:pPr>
      <w:r>
        <w:rPr>
          <w:rStyle w:val="Naglaeno"/>
        </w:rPr>
        <w:t>Pokazatelji uspješnosti</w:t>
      </w:r>
    </w:p>
    <w:p w14:paraId="54AD6252" w14:textId="77777777" w:rsidR="008029C4" w:rsidRDefault="008029C4" w:rsidP="008029C4">
      <w:pPr>
        <w:pStyle w:val="StandardWeb"/>
        <w:numPr>
          <w:ilvl w:val="0"/>
          <w:numId w:val="5"/>
        </w:numPr>
        <w:spacing w:before="0" w:beforeAutospacing="0" w:after="0" w:afterAutospacing="0"/>
      </w:pPr>
      <w:r>
        <w:rPr>
          <w:rStyle w:val="Istaknuto"/>
        </w:rPr>
        <w:t>Pokazatelji učinka</w:t>
      </w:r>
      <w:r>
        <w:t>: osigurana funkcionalnost rada upravnih tijela i predstavničkih tijela, uredno izvršavanje svih zakonskih i financijskih obveza</w:t>
      </w:r>
    </w:p>
    <w:p w14:paraId="1AA1CF17" w14:textId="77777777" w:rsidR="008029C4" w:rsidRDefault="008029C4" w:rsidP="008029C4">
      <w:pPr>
        <w:pStyle w:val="StandardWeb"/>
        <w:numPr>
          <w:ilvl w:val="0"/>
          <w:numId w:val="5"/>
        </w:numPr>
        <w:spacing w:before="0" w:beforeAutospacing="0" w:after="0" w:afterAutospacing="0"/>
      </w:pPr>
      <w:r>
        <w:rPr>
          <w:rStyle w:val="Istaknuto"/>
        </w:rPr>
        <w:t>Pokazatelji rezultata</w:t>
      </w:r>
      <w:r>
        <w:t>: pravovremena isplata plaća i naknada, podmirenje obveza prema dobavljačima i kreditnim institucijama, uspješno provedeni izbori</w:t>
      </w:r>
    </w:p>
    <w:p w14:paraId="4C925D07"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2607ADCF" w14:textId="77777777" w:rsidR="008029C4" w:rsidRDefault="008029C4" w:rsidP="008029C4">
      <w:pPr>
        <w:pStyle w:val="StandardWeb"/>
        <w:spacing w:before="0" w:beforeAutospacing="0" w:after="0" w:afterAutospacing="0"/>
        <w:jc w:val="both"/>
      </w:pPr>
      <w:r>
        <w:t>Ukupna realizacija Programa 1001 iznosi 73,66% u odnosu na planirana sredstva. Odstupanje od plana rezultat je dinamike izvršenja pojedinih rashoda tijekom godine, osobito u dijelu materijalnih rashoda, investicijskih ulaganja i financijskih obveza.</w:t>
      </w:r>
    </w:p>
    <w:p w14:paraId="71F918BE" w14:textId="77777777" w:rsidR="008029C4" w:rsidRPr="00A85342" w:rsidRDefault="008029C4" w:rsidP="008029C4">
      <w:pPr>
        <w:pStyle w:val="StandardWeb"/>
        <w:spacing w:before="0" w:beforeAutospacing="0" w:after="0" w:afterAutospacing="0"/>
        <w:jc w:val="both"/>
        <w:rPr>
          <w:rFonts w:eastAsiaTheme="majorEastAsia"/>
          <w:b/>
          <w:bCs/>
        </w:rPr>
      </w:pPr>
    </w:p>
    <w:p w14:paraId="0FA3B6FE" w14:textId="77777777" w:rsidR="008029C4" w:rsidRPr="004F3D9B" w:rsidRDefault="008029C4" w:rsidP="008029C4">
      <w:pPr>
        <w:pStyle w:val="StandardWeb"/>
        <w:spacing w:before="0" w:beforeAutospacing="0" w:after="0" w:afterAutospacing="0"/>
        <w:rPr>
          <w:u w:val="single"/>
        </w:rPr>
      </w:pPr>
      <w:r w:rsidRPr="004F3D9B">
        <w:rPr>
          <w:rStyle w:val="Naglaeno"/>
          <w:u w:val="single"/>
        </w:rPr>
        <w:t>Program 1002 Zaštita okoliša</w:t>
      </w:r>
    </w:p>
    <w:p w14:paraId="16AFEB1E" w14:textId="77777777" w:rsidR="008029C4" w:rsidRDefault="008029C4" w:rsidP="008029C4">
      <w:pPr>
        <w:pStyle w:val="StandardWeb"/>
        <w:spacing w:before="0" w:beforeAutospacing="0" w:after="0" w:afterAutospacing="0"/>
      </w:pPr>
      <w:r>
        <w:t>Program 1002 Zaštita okoliša usmjeren je na očuvanje okoliša i unapređenje sustava gospodarenja otpadom na području općine.</w:t>
      </w:r>
    </w:p>
    <w:p w14:paraId="75DBA441" w14:textId="77777777" w:rsidR="008029C4" w:rsidRDefault="008029C4" w:rsidP="008029C4">
      <w:pPr>
        <w:pStyle w:val="StandardWeb"/>
        <w:spacing w:before="0" w:beforeAutospacing="0" w:after="0" w:afterAutospacing="0"/>
      </w:pPr>
      <w:r>
        <w:t>U okviru programa planirani su i realizirani rashodi za:</w:t>
      </w:r>
    </w:p>
    <w:p w14:paraId="063940F6" w14:textId="77777777" w:rsidR="008029C4" w:rsidRDefault="008029C4" w:rsidP="008029C4">
      <w:pPr>
        <w:pStyle w:val="StandardWeb"/>
        <w:numPr>
          <w:ilvl w:val="0"/>
          <w:numId w:val="6"/>
        </w:numPr>
        <w:spacing w:before="0" w:beforeAutospacing="0" w:after="0" w:afterAutospacing="0"/>
      </w:pPr>
      <w:r>
        <w:t xml:space="preserve">zbrinjavanje otpada putem općinskog koncesionara </w:t>
      </w:r>
      <w:r>
        <w:rPr>
          <w:rStyle w:val="whitespace-normal"/>
        </w:rPr>
        <w:t>GKP Prekom</w:t>
      </w:r>
    </w:p>
    <w:p w14:paraId="5D7DCDD8" w14:textId="77777777" w:rsidR="008029C4" w:rsidRDefault="008029C4" w:rsidP="008029C4">
      <w:pPr>
        <w:pStyle w:val="StandardWeb"/>
        <w:numPr>
          <w:ilvl w:val="0"/>
          <w:numId w:val="6"/>
        </w:numPr>
        <w:spacing w:before="0" w:beforeAutospacing="0" w:after="0" w:afterAutospacing="0"/>
      </w:pPr>
      <w:r>
        <w:t>aktivnosti vezane uz sanaciju divljih odlagališta otpada</w:t>
      </w:r>
    </w:p>
    <w:p w14:paraId="3E4EC550" w14:textId="77777777" w:rsidR="008029C4" w:rsidRDefault="008029C4" w:rsidP="008029C4">
      <w:pPr>
        <w:pStyle w:val="StandardWeb"/>
        <w:spacing w:before="0" w:beforeAutospacing="0" w:after="0" w:afterAutospacing="0"/>
      </w:pPr>
      <w:r>
        <w:rPr>
          <w:rStyle w:val="Naglaeno"/>
        </w:rPr>
        <w:t>Cilj programa</w:t>
      </w:r>
      <w:r>
        <w:br/>
        <w:t>Cilj programa je osigurati učinkovito i održivo gospodarenje otpadom te smanjenje negativnog utjecaja nepropisno odloženog otpada na okoliš.</w:t>
      </w:r>
    </w:p>
    <w:p w14:paraId="6EF472D7" w14:textId="77777777" w:rsidR="008029C4" w:rsidRDefault="008029C4" w:rsidP="008029C4">
      <w:pPr>
        <w:pStyle w:val="StandardWeb"/>
        <w:spacing w:before="0" w:beforeAutospacing="0" w:after="0" w:afterAutospacing="0"/>
      </w:pPr>
      <w:r>
        <w:rPr>
          <w:rStyle w:val="Naglaeno"/>
        </w:rPr>
        <w:t>Ostvarenje ciljeva</w:t>
      </w:r>
      <w:r>
        <w:br/>
        <w:t>Provedbom programa osigurano je redovito i organizirano prikupljanje i zbrinjavanje otpada putem ovlaštenog koncesionara. Također su provedene početne aktivnosti vezane uz sanaciju divljeg odlagališta otpada, čime su stvoreni preduvjeti za njegovu konačnu sanaciju planiranu u 2026. godini.</w:t>
      </w:r>
    </w:p>
    <w:p w14:paraId="32E687B6" w14:textId="77777777" w:rsidR="008029C4" w:rsidRDefault="008029C4" w:rsidP="008029C4">
      <w:pPr>
        <w:pStyle w:val="StandardWeb"/>
        <w:spacing w:before="0" w:beforeAutospacing="0" w:after="0" w:afterAutospacing="0"/>
      </w:pPr>
      <w:r>
        <w:rPr>
          <w:rStyle w:val="Naglaeno"/>
        </w:rPr>
        <w:t>Pokazatelji uspješnosti</w:t>
      </w:r>
    </w:p>
    <w:p w14:paraId="50F11048" w14:textId="77777777" w:rsidR="008029C4" w:rsidRDefault="008029C4" w:rsidP="008029C4">
      <w:pPr>
        <w:pStyle w:val="StandardWeb"/>
        <w:numPr>
          <w:ilvl w:val="0"/>
          <w:numId w:val="7"/>
        </w:numPr>
        <w:spacing w:before="0" w:beforeAutospacing="0" w:after="0" w:afterAutospacing="0"/>
      </w:pPr>
      <w:r>
        <w:rPr>
          <w:rStyle w:val="Istaknuto"/>
        </w:rPr>
        <w:t>Pokazatelji učinka</w:t>
      </w:r>
      <w:r>
        <w:t>: uspostavljen kontinuiran sustav prikupljanja i zbrinjavanja otpada, pokretanje aktivnosti sanacije nelegalnih odlagališta</w:t>
      </w:r>
    </w:p>
    <w:p w14:paraId="4B0A78B7" w14:textId="77777777" w:rsidR="008029C4" w:rsidRDefault="008029C4" w:rsidP="008029C4">
      <w:pPr>
        <w:pStyle w:val="StandardWeb"/>
        <w:numPr>
          <w:ilvl w:val="0"/>
          <w:numId w:val="7"/>
        </w:numPr>
        <w:spacing w:before="0" w:beforeAutospacing="0" w:after="0" w:afterAutospacing="0"/>
      </w:pPr>
      <w:r>
        <w:rPr>
          <w:rStyle w:val="Istaknuto"/>
        </w:rPr>
        <w:t>Pokazatelji rezultata</w:t>
      </w:r>
      <w:r>
        <w:t>: uredno izvršene usluge odvoza i zbrinjavanja otpada, provedene pripremne radnje za sanaciju odlagališta</w:t>
      </w:r>
    </w:p>
    <w:p w14:paraId="6BC5E729"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2241F234" w14:textId="77777777" w:rsidR="008029C4" w:rsidRPr="00A85342" w:rsidRDefault="008029C4" w:rsidP="008029C4">
      <w:pPr>
        <w:pStyle w:val="StandardWeb"/>
        <w:spacing w:before="0" w:beforeAutospacing="0" w:after="0" w:afterAutospacing="0"/>
        <w:rPr>
          <w:rFonts w:eastAsiaTheme="majorEastAsia"/>
          <w:b/>
          <w:bCs/>
        </w:rPr>
      </w:pPr>
      <w:r>
        <w:t>Ukupna realizacija Programa 1002 iznosi 102,28% u odnosu na planirana sredstva. Prekoračenje plana rezultat je povećanih troškova usluga zbrinjavanja otpada .</w:t>
      </w:r>
    </w:p>
    <w:p w14:paraId="56F5745B" w14:textId="77777777" w:rsidR="008029C4" w:rsidRPr="000677CA" w:rsidRDefault="008029C4" w:rsidP="008029C4">
      <w:pPr>
        <w:pStyle w:val="StandardWeb"/>
        <w:spacing w:before="0" w:beforeAutospacing="0" w:after="0" w:afterAutospacing="0"/>
        <w:rPr>
          <w:u w:val="single"/>
        </w:rPr>
      </w:pPr>
      <w:r w:rsidRPr="000677CA">
        <w:rPr>
          <w:rStyle w:val="Naglaeno"/>
          <w:u w:val="single"/>
        </w:rPr>
        <w:lastRenderedPageBreak/>
        <w:t>Program 1003 Jačanje gospodarstva</w:t>
      </w:r>
    </w:p>
    <w:p w14:paraId="217D9B21" w14:textId="77777777" w:rsidR="008029C4" w:rsidRDefault="008029C4" w:rsidP="008029C4">
      <w:pPr>
        <w:pStyle w:val="StandardWeb"/>
        <w:spacing w:before="0" w:beforeAutospacing="0" w:after="0" w:afterAutospacing="0"/>
      </w:pPr>
      <w:r>
        <w:t>Program 1003 Jačanje gospodarstva usmjeren je na razvoj gospodarske infrastrukture i stvaranje preduvjeta za poticanje gospodarskih aktivnosti na području općine.</w:t>
      </w:r>
    </w:p>
    <w:p w14:paraId="6AB5132F" w14:textId="77777777" w:rsidR="008029C4" w:rsidRDefault="008029C4" w:rsidP="008029C4">
      <w:pPr>
        <w:pStyle w:val="StandardWeb"/>
        <w:spacing w:before="0" w:beforeAutospacing="0" w:after="0" w:afterAutospacing="0"/>
      </w:pPr>
      <w:r>
        <w:t>U okviru programa planirane su aktivnosti vezane uz:</w:t>
      </w:r>
    </w:p>
    <w:p w14:paraId="3FADD5E1" w14:textId="77777777" w:rsidR="008029C4" w:rsidRDefault="008029C4" w:rsidP="008029C4">
      <w:pPr>
        <w:pStyle w:val="StandardWeb"/>
        <w:numPr>
          <w:ilvl w:val="0"/>
          <w:numId w:val="8"/>
        </w:numPr>
        <w:spacing w:before="0" w:beforeAutospacing="0" w:after="0" w:afterAutospacing="0"/>
      </w:pPr>
      <w:r>
        <w:t>izgradnju prometne infrastrukture u Gospodarskoj zoni Sjever</w:t>
      </w:r>
    </w:p>
    <w:p w14:paraId="0AF2F07C" w14:textId="77777777" w:rsidR="008029C4" w:rsidRDefault="008029C4" w:rsidP="008029C4">
      <w:pPr>
        <w:pStyle w:val="StandardWeb"/>
        <w:spacing w:before="0" w:beforeAutospacing="0" w:after="0" w:afterAutospacing="0"/>
      </w:pPr>
      <w:r>
        <w:rPr>
          <w:rStyle w:val="Naglaeno"/>
        </w:rPr>
        <w:t>Cilj programa</w:t>
      </w:r>
      <w:r>
        <w:br/>
        <w:t>Cilj programa je unaprijediti gospodarsku infrastrukturu te omogućiti razvoj poduzetništva i privlačenje investicija na području općine.</w:t>
      </w:r>
    </w:p>
    <w:p w14:paraId="25006D10" w14:textId="77777777" w:rsidR="008029C4" w:rsidRDefault="008029C4" w:rsidP="008029C4">
      <w:pPr>
        <w:pStyle w:val="StandardWeb"/>
        <w:spacing w:before="0" w:beforeAutospacing="0" w:after="0" w:afterAutospacing="0"/>
      </w:pPr>
      <w:r>
        <w:rPr>
          <w:rStyle w:val="Naglaeno"/>
        </w:rPr>
        <w:t>Ostvarenje ciljeva</w:t>
      </w:r>
      <w:r>
        <w:br/>
        <w:t>Tijekom izvještajnog razdoblja planirane aktivnosti nisu realizirane zbog nedostatka financijskih sredstava, s obzirom na istovremeno provođenje većeg broja drugih projekata u 2025. godini.</w:t>
      </w:r>
    </w:p>
    <w:p w14:paraId="1C64B224" w14:textId="77777777" w:rsidR="008029C4" w:rsidRDefault="008029C4" w:rsidP="008029C4">
      <w:pPr>
        <w:pStyle w:val="StandardWeb"/>
        <w:spacing w:before="0" w:beforeAutospacing="0" w:after="0" w:afterAutospacing="0"/>
      </w:pPr>
      <w:r>
        <w:rPr>
          <w:rStyle w:val="Naglaeno"/>
        </w:rPr>
        <w:t>Pokazatelji uspješnosti</w:t>
      </w:r>
    </w:p>
    <w:p w14:paraId="5E12D2D0" w14:textId="77777777" w:rsidR="008029C4" w:rsidRDefault="008029C4" w:rsidP="008029C4">
      <w:pPr>
        <w:pStyle w:val="StandardWeb"/>
        <w:numPr>
          <w:ilvl w:val="0"/>
          <w:numId w:val="9"/>
        </w:numPr>
        <w:spacing w:before="0" w:beforeAutospacing="0" w:after="0" w:afterAutospacing="0"/>
      </w:pPr>
      <w:r>
        <w:rPr>
          <w:rStyle w:val="Istaknuto"/>
        </w:rPr>
        <w:t>Pokazatelji učinka</w:t>
      </w:r>
      <w:r>
        <w:t>: stvaranje preduvjeta za razvoj gospodarske zone</w:t>
      </w:r>
    </w:p>
    <w:p w14:paraId="132E5732" w14:textId="77777777" w:rsidR="008029C4" w:rsidRDefault="008029C4" w:rsidP="008029C4">
      <w:pPr>
        <w:pStyle w:val="StandardWeb"/>
        <w:numPr>
          <w:ilvl w:val="0"/>
          <w:numId w:val="9"/>
        </w:numPr>
        <w:spacing w:before="0" w:beforeAutospacing="0" w:after="0" w:afterAutospacing="0"/>
      </w:pPr>
      <w:r>
        <w:rPr>
          <w:rStyle w:val="Istaknuto"/>
        </w:rPr>
        <w:t>Pokazatelji rezultata</w:t>
      </w:r>
      <w:r>
        <w:t>: realizacija infrastrukturnih projekata u gospodarskoj zoni (nije ostvareno u izvještajnom razdoblju)</w:t>
      </w:r>
    </w:p>
    <w:p w14:paraId="73D3E6A3"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2343F460" w14:textId="77777777" w:rsidR="008029C4" w:rsidRDefault="008029C4" w:rsidP="008029C4">
      <w:pPr>
        <w:pStyle w:val="StandardWeb"/>
        <w:spacing w:before="0" w:beforeAutospacing="0" w:after="0" w:afterAutospacing="0"/>
        <w:jc w:val="both"/>
      </w:pPr>
      <w:r>
        <w:t>Ukupna realizacija Programa 1003 iznosi 0,00% u odnosu na planirana sredstva. Nerealizacija programa rezultat je ograničenih proračunskih mogućnosti tijekom godine. Provedba projekta izgradnje ceste u Gospodarskoj zoni Sjever planira se u narednom razdoblju, ovisno o osiguranju potrebnih financijskih sredstava.</w:t>
      </w:r>
    </w:p>
    <w:p w14:paraId="7C371EF1" w14:textId="77777777" w:rsidR="008029C4" w:rsidRDefault="008029C4" w:rsidP="008029C4">
      <w:pPr>
        <w:pStyle w:val="StandardWeb"/>
        <w:spacing w:before="0" w:beforeAutospacing="0" w:after="0" w:afterAutospacing="0"/>
        <w:jc w:val="both"/>
      </w:pPr>
    </w:p>
    <w:p w14:paraId="0102D5C7" w14:textId="77777777" w:rsidR="008029C4" w:rsidRPr="00CC5F46" w:rsidRDefault="008029C4" w:rsidP="008029C4">
      <w:pPr>
        <w:pStyle w:val="StandardWeb"/>
        <w:spacing w:before="0" w:beforeAutospacing="0" w:after="0" w:afterAutospacing="0"/>
        <w:rPr>
          <w:u w:val="single"/>
        </w:rPr>
      </w:pPr>
      <w:r w:rsidRPr="00CC5F46">
        <w:rPr>
          <w:rStyle w:val="Naglaeno"/>
          <w:u w:val="single"/>
        </w:rPr>
        <w:t>Program 1005 Razvoj i upravljanje sustava vodoopskrbe, odvodnje i zaštite voda</w:t>
      </w:r>
    </w:p>
    <w:p w14:paraId="64CFF108" w14:textId="77777777" w:rsidR="008029C4" w:rsidRDefault="008029C4" w:rsidP="008029C4">
      <w:pPr>
        <w:pStyle w:val="StandardWeb"/>
        <w:spacing w:before="0" w:beforeAutospacing="0" w:after="0" w:afterAutospacing="0"/>
      </w:pPr>
      <w:r>
        <w:t>Program 1005 usmjeren je na unapređenje komunalne infrastrukture u dijelu vodoopskrbe i odvodnje te zaštitu voda na području općine.</w:t>
      </w:r>
    </w:p>
    <w:p w14:paraId="185EB386" w14:textId="77777777" w:rsidR="008029C4" w:rsidRDefault="008029C4" w:rsidP="008029C4">
      <w:pPr>
        <w:pStyle w:val="StandardWeb"/>
        <w:spacing w:before="0" w:beforeAutospacing="0" w:after="0" w:afterAutospacing="0"/>
      </w:pPr>
      <w:r>
        <w:t>U okviru programa planirane su i realizirane aktivnosti vezane uz:</w:t>
      </w:r>
    </w:p>
    <w:p w14:paraId="0419E50A" w14:textId="77777777" w:rsidR="008029C4" w:rsidRDefault="008029C4" w:rsidP="008029C4">
      <w:pPr>
        <w:pStyle w:val="StandardWeb"/>
        <w:numPr>
          <w:ilvl w:val="0"/>
          <w:numId w:val="10"/>
        </w:numPr>
        <w:spacing w:before="0" w:beforeAutospacing="0" w:after="0" w:afterAutospacing="0"/>
      </w:pPr>
      <w:r>
        <w:t>sustav odvodnje i kanalizacije nakon provedbe aglomeracije</w:t>
      </w:r>
    </w:p>
    <w:p w14:paraId="70745D70" w14:textId="77777777" w:rsidR="008029C4" w:rsidRDefault="008029C4" w:rsidP="008029C4">
      <w:pPr>
        <w:pStyle w:val="StandardWeb"/>
        <w:numPr>
          <w:ilvl w:val="0"/>
          <w:numId w:val="10"/>
        </w:numPr>
        <w:spacing w:before="0" w:beforeAutospacing="0" w:after="0" w:afterAutospacing="0"/>
      </w:pPr>
      <w:r>
        <w:t>izgradnju i unapređenje sustava oborinske odvodnje</w:t>
      </w:r>
    </w:p>
    <w:p w14:paraId="3B31835B" w14:textId="77777777" w:rsidR="008029C4" w:rsidRDefault="008029C4" w:rsidP="008029C4">
      <w:pPr>
        <w:pStyle w:val="StandardWeb"/>
        <w:spacing w:before="0" w:beforeAutospacing="0" w:after="0" w:afterAutospacing="0"/>
      </w:pPr>
      <w:r>
        <w:rPr>
          <w:rStyle w:val="Naglaeno"/>
        </w:rPr>
        <w:t>Cilj programa</w:t>
      </w:r>
      <w:r>
        <w:br/>
        <w:t>Cilj programa je osigurati kvalitetan i funkcionalan sustav odvodnje te smanjiti rizik od štetnog djelovanja oborinskih voda na infrastrukturu i okoliš.</w:t>
      </w:r>
    </w:p>
    <w:p w14:paraId="758902A9" w14:textId="77777777" w:rsidR="008029C4" w:rsidRDefault="008029C4" w:rsidP="008029C4">
      <w:pPr>
        <w:pStyle w:val="StandardWeb"/>
        <w:spacing w:before="0" w:beforeAutospacing="0" w:after="0" w:afterAutospacing="0"/>
      </w:pPr>
      <w:r>
        <w:rPr>
          <w:rStyle w:val="Naglaeno"/>
        </w:rPr>
        <w:t>Ostvarenje ciljeva</w:t>
      </w:r>
      <w:r>
        <w:br/>
        <w:t>Provedbom programa izvršeni su radovi na sustavu oborinske odvodnje u dijelovima ulica Matije Gupca, Vinogradarske i dijelu ulice Krbulja, čime je poboljšana funkcionalnost sustava odvodnje i smanjen rizik od zadržavanja oborinskih voda. Također su nastavljene aktivnosti vezane uz sustav kanalizacije nakon provedene aglomeracije.</w:t>
      </w:r>
    </w:p>
    <w:p w14:paraId="24380DF9" w14:textId="77777777" w:rsidR="008029C4" w:rsidRDefault="008029C4" w:rsidP="008029C4">
      <w:pPr>
        <w:pStyle w:val="StandardWeb"/>
        <w:spacing w:before="0" w:beforeAutospacing="0" w:after="0" w:afterAutospacing="0"/>
      </w:pPr>
      <w:r>
        <w:rPr>
          <w:rStyle w:val="Naglaeno"/>
        </w:rPr>
        <w:t>Pokazatelji uspješnosti</w:t>
      </w:r>
    </w:p>
    <w:p w14:paraId="157CD79C" w14:textId="77777777" w:rsidR="008029C4" w:rsidRDefault="008029C4" w:rsidP="008029C4">
      <w:pPr>
        <w:pStyle w:val="StandardWeb"/>
        <w:numPr>
          <w:ilvl w:val="0"/>
          <w:numId w:val="11"/>
        </w:numPr>
        <w:spacing w:before="0" w:beforeAutospacing="0" w:after="0" w:afterAutospacing="0"/>
      </w:pPr>
      <w:r>
        <w:rPr>
          <w:rStyle w:val="Istaknuto"/>
        </w:rPr>
        <w:t>Pokazatelji učinka</w:t>
      </w:r>
      <w:r>
        <w:t>: unaprijeđen sustav odvodnje i povećana sigurnost od štetnog djelovanja oborinskih voda</w:t>
      </w:r>
    </w:p>
    <w:p w14:paraId="71684074" w14:textId="77777777" w:rsidR="008029C4" w:rsidRDefault="008029C4" w:rsidP="008029C4">
      <w:pPr>
        <w:pStyle w:val="StandardWeb"/>
        <w:numPr>
          <w:ilvl w:val="0"/>
          <w:numId w:val="11"/>
        </w:numPr>
        <w:spacing w:before="0" w:beforeAutospacing="0" w:after="0" w:afterAutospacing="0"/>
      </w:pPr>
      <w:r>
        <w:rPr>
          <w:rStyle w:val="Istaknuto"/>
        </w:rPr>
        <w:t>Pokazatelji rezultata</w:t>
      </w:r>
      <w:r>
        <w:t>: izvedeni radovi na oborinskoj odvodnji u navedenim ulicama i poboljšana funkcionalnost sustava</w:t>
      </w:r>
    </w:p>
    <w:p w14:paraId="477D989A"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38542C87" w14:textId="77777777" w:rsidR="008029C4" w:rsidRDefault="008029C4" w:rsidP="008029C4">
      <w:pPr>
        <w:pStyle w:val="StandardWeb"/>
        <w:spacing w:before="0" w:beforeAutospacing="0" w:after="0" w:afterAutospacing="0"/>
        <w:jc w:val="both"/>
      </w:pPr>
      <w:r>
        <w:t>Ukupna realizacija Programa 1005 iznosi 101,25% u odnosu na planirana sredstva. Prekoračenje plana rezultat je povećanih troškova izvođenja radova i dodatnih aktivnosti na unapređenju sustava odvodnje.</w:t>
      </w:r>
    </w:p>
    <w:p w14:paraId="103D160E" w14:textId="77777777" w:rsidR="008029C4" w:rsidRPr="00E84798" w:rsidRDefault="008029C4" w:rsidP="008029C4">
      <w:pPr>
        <w:pStyle w:val="StandardWeb"/>
        <w:spacing w:before="0" w:beforeAutospacing="0" w:after="0" w:afterAutospacing="0"/>
        <w:rPr>
          <w:u w:val="single"/>
        </w:rPr>
      </w:pPr>
      <w:r w:rsidRPr="00E84798">
        <w:rPr>
          <w:rStyle w:val="Naglaeno"/>
          <w:u w:val="single"/>
        </w:rPr>
        <w:lastRenderedPageBreak/>
        <w:t>Program 1006 Razvoj i sigurnost prometa</w:t>
      </w:r>
    </w:p>
    <w:p w14:paraId="1283D6DA" w14:textId="77777777" w:rsidR="008029C4" w:rsidRDefault="008029C4" w:rsidP="008029C4">
      <w:pPr>
        <w:pStyle w:val="StandardWeb"/>
        <w:spacing w:before="0" w:beforeAutospacing="0" w:after="0" w:afterAutospacing="0"/>
      </w:pPr>
      <w:r>
        <w:t>Program 1006 Razvoj i sigurnost prometa usmjeren je na unapređenje prometne infrastrukture i osiguravanje sigurnog odvijanja prometa na području općine.</w:t>
      </w:r>
    </w:p>
    <w:p w14:paraId="66D632C6" w14:textId="77777777" w:rsidR="008029C4" w:rsidRDefault="008029C4" w:rsidP="008029C4">
      <w:pPr>
        <w:pStyle w:val="StandardWeb"/>
        <w:spacing w:before="0" w:beforeAutospacing="0" w:after="0" w:afterAutospacing="0"/>
      </w:pPr>
      <w:r>
        <w:t>U okviru programa planirani su i realizirani rashodi za:</w:t>
      </w:r>
    </w:p>
    <w:p w14:paraId="4266BE01" w14:textId="77777777" w:rsidR="008029C4" w:rsidRDefault="008029C4" w:rsidP="008029C4">
      <w:pPr>
        <w:pStyle w:val="StandardWeb"/>
        <w:numPr>
          <w:ilvl w:val="0"/>
          <w:numId w:val="12"/>
        </w:numPr>
        <w:spacing w:before="0" w:beforeAutospacing="0" w:after="0" w:afterAutospacing="0"/>
      </w:pPr>
      <w:r>
        <w:t>ulaganja u lokalne i nerazvrstane ceste</w:t>
      </w:r>
    </w:p>
    <w:p w14:paraId="7A9411AA" w14:textId="77777777" w:rsidR="008029C4" w:rsidRDefault="008029C4" w:rsidP="008029C4">
      <w:pPr>
        <w:pStyle w:val="StandardWeb"/>
        <w:numPr>
          <w:ilvl w:val="0"/>
          <w:numId w:val="12"/>
        </w:numPr>
        <w:spacing w:before="0" w:beforeAutospacing="0" w:after="0" w:afterAutospacing="0"/>
      </w:pPr>
      <w:r>
        <w:t>komunalne usluge vezane uz održavanje prometne infrastrukture</w:t>
      </w:r>
    </w:p>
    <w:p w14:paraId="1D7696C7" w14:textId="77777777" w:rsidR="008029C4" w:rsidRDefault="008029C4" w:rsidP="008029C4">
      <w:pPr>
        <w:pStyle w:val="StandardWeb"/>
        <w:spacing w:before="0" w:beforeAutospacing="0" w:after="0" w:afterAutospacing="0"/>
      </w:pPr>
      <w:r>
        <w:rPr>
          <w:rStyle w:val="Naglaeno"/>
        </w:rPr>
        <w:t>Cilj programa</w:t>
      </w:r>
      <w:r>
        <w:br/>
        <w:t>Cilj programa je poboljšati kvalitetu prometne infrastrukture te osigurati sigurnost i protočnost prometa.</w:t>
      </w:r>
    </w:p>
    <w:p w14:paraId="6983190C" w14:textId="77777777" w:rsidR="008029C4" w:rsidRDefault="008029C4" w:rsidP="008029C4">
      <w:pPr>
        <w:pStyle w:val="StandardWeb"/>
        <w:spacing w:before="0" w:beforeAutospacing="0" w:after="0" w:afterAutospacing="0"/>
      </w:pPr>
      <w:r>
        <w:rPr>
          <w:rStyle w:val="Naglaeno"/>
        </w:rPr>
        <w:t>Ostvarenje ciljeva</w:t>
      </w:r>
      <w:r>
        <w:br/>
        <w:t>Provedbom programa izvršena su ulaganja u održavanje i unapređenje lokalnih i nerazvrstanih cesta, čime se doprinosi sigurnijem prometovanju. Dio planiranih aktivnosti nije realiziran u cijelosti, osobito u segmentu zimskog održavanja.</w:t>
      </w:r>
    </w:p>
    <w:p w14:paraId="6564C982" w14:textId="77777777" w:rsidR="008029C4" w:rsidRDefault="008029C4" w:rsidP="008029C4">
      <w:pPr>
        <w:pStyle w:val="StandardWeb"/>
        <w:spacing w:before="0" w:beforeAutospacing="0" w:after="0" w:afterAutospacing="0"/>
      </w:pPr>
      <w:r>
        <w:rPr>
          <w:rStyle w:val="Naglaeno"/>
        </w:rPr>
        <w:t>Pokazatelji uspješnosti</w:t>
      </w:r>
    </w:p>
    <w:p w14:paraId="66936C7F" w14:textId="77777777" w:rsidR="008029C4" w:rsidRDefault="008029C4" w:rsidP="008029C4">
      <w:pPr>
        <w:pStyle w:val="StandardWeb"/>
        <w:numPr>
          <w:ilvl w:val="0"/>
          <w:numId w:val="13"/>
        </w:numPr>
        <w:spacing w:before="0" w:beforeAutospacing="0" w:after="0" w:afterAutospacing="0"/>
      </w:pPr>
      <w:r>
        <w:rPr>
          <w:rStyle w:val="Istaknuto"/>
        </w:rPr>
        <w:t>Pokazatelji učinka</w:t>
      </w:r>
      <w:r>
        <w:t>: održavana i unaprijeđena prometna infrastruktura te osigurani uvjeti za sigurno odvijanje prometa</w:t>
      </w:r>
    </w:p>
    <w:p w14:paraId="40B63009" w14:textId="77777777" w:rsidR="008029C4" w:rsidRDefault="008029C4" w:rsidP="008029C4">
      <w:pPr>
        <w:pStyle w:val="StandardWeb"/>
        <w:numPr>
          <w:ilvl w:val="0"/>
          <w:numId w:val="13"/>
        </w:numPr>
        <w:spacing w:before="0" w:beforeAutospacing="0" w:after="0" w:afterAutospacing="0"/>
      </w:pPr>
      <w:r>
        <w:rPr>
          <w:rStyle w:val="Istaknuto"/>
        </w:rPr>
        <w:t>Pokazatelji rezultata</w:t>
      </w:r>
      <w:r>
        <w:t>: izvršeni radovi na cestama i provedene komunalne usluge održavanja u skladu s potrebama</w:t>
      </w:r>
    </w:p>
    <w:p w14:paraId="285D9254"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28C357D0" w14:textId="77777777" w:rsidR="008029C4" w:rsidRDefault="008029C4" w:rsidP="008029C4">
      <w:pPr>
        <w:pStyle w:val="StandardWeb"/>
        <w:spacing w:before="0" w:beforeAutospacing="0" w:after="0" w:afterAutospacing="0"/>
        <w:jc w:val="both"/>
      </w:pPr>
      <w:r>
        <w:t>Ukupna realizacija Programa 1006 iznosi 58,18% u odnosu na planirana sredstva. Značajnije odstupanje od plana evidentirano je u dijelu komunalnih usluga zimskog održavanja (čišćenje snijega), budući da u 2025. godini nije bilo potrebe za provođenjem navedenih aktivnosti uslijed povoljnih vremenskih uvjeta.</w:t>
      </w:r>
    </w:p>
    <w:p w14:paraId="69AAEF5F" w14:textId="77777777" w:rsidR="008029C4" w:rsidRDefault="008029C4" w:rsidP="008029C4">
      <w:pPr>
        <w:pStyle w:val="StandardWeb"/>
        <w:spacing w:before="0" w:beforeAutospacing="0" w:after="0" w:afterAutospacing="0"/>
        <w:jc w:val="both"/>
      </w:pPr>
    </w:p>
    <w:p w14:paraId="690CA259" w14:textId="77777777" w:rsidR="008029C4" w:rsidRPr="00BA772D" w:rsidRDefault="008029C4" w:rsidP="008029C4">
      <w:pPr>
        <w:pStyle w:val="StandardWeb"/>
        <w:spacing w:before="0" w:beforeAutospacing="0" w:after="0" w:afterAutospacing="0"/>
        <w:rPr>
          <w:u w:val="single"/>
        </w:rPr>
      </w:pPr>
      <w:r w:rsidRPr="00BA772D">
        <w:rPr>
          <w:rStyle w:val="Naglaeno"/>
          <w:u w:val="single"/>
        </w:rPr>
        <w:t>Program 1007 Poticanje i razvoj turizma</w:t>
      </w:r>
    </w:p>
    <w:p w14:paraId="24BD1DBB" w14:textId="77777777" w:rsidR="008029C4" w:rsidRDefault="008029C4" w:rsidP="008029C4">
      <w:pPr>
        <w:pStyle w:val="StandardWeb"/>
        <w:spacing w:before="0" w:beforeAutospacing="0" w:after="0" w:afterAutospacing="0"/>
      </w:pPr>
      <w:r>
        <w:t>Program 1007 Poticanje i razvoj turizma usmjeren je na razvoj turističke ponude, očuvanje kulturne baštine te jačanje prepoznatljivosti općine kroz različite manifestacije i projekte.</w:t>
      </w:r>
    </w:p>
    <w:p w14:paraId="062A49E8" w14:textId="77777777" w:rsidR="008029C4" w:rsidRDefault="008029C4" w:rsidP="008029C4">
      <w:pPr>
        <w:pStyle w:val="StandardWeb"/>
        <w:spacing w:before="0" w:beforeAutospacing="0" w:after="0" w:afterAutospacing="0"/>
      </w:pPr>
      <w:r>
        <w:t>U okviru programa planirane su i realizirane aktivnosti vezane uz:</w:t>
      </w:r>
    </w:p>
    <w:p w14:paraId="1F61FAE3" w14:textId="77777777" w:rsidR="008029C4" w:rsidRDefault="008029C4" w:rsidP="008029C4">
      <w:pPr>
        <w:pStyle w:val="StandardWeb"/>
        <w:numPr>
          <w:ilvl w:val="0"/>
          <w:numId w:val="14"/>
        </w:numPr>
        <w:spacing w:before="0" w:beforeAutospacing="0" w:after="0" w:afterAutospacing="0"/>
      </w:pPr>
      <w:r>
        <w:t>organizaciju i održavanje manifestacija tijekom godine</w:t>
      </w:r>
    </w:p>
    <w:p w14:paraId="0CE29363" w14:textId="77777777" w:rsidR="008029C4" w:rsidRDefault="008029C4" w:rsidP="008029C4">
      <w:pPr>
        <w:pStyle w:val="StandardWeb"/>
        <w:numPr>
          <w:ilvl w:val="0"/>
          <w:numId w:val="14"/>
        </w:numPr>
        <w:spacing w:before="0" w:beforeAutospacing="0" w:after="0" w:afterAutospacing="0"/>
      </w:pPr>
      <w:r>
        <w:t>obilježavanje blagdana Svete Margarete, koji se ujedno slavi kao Dan općine</w:t>
      </w:r>
    </w:p>
    <w:p w14:paraId="6B3CE3ED" w14:textId="77777777" w:rsidR="008029C4" w:rsidRDefault="008029C4" w:rsidP="008029C4">
      <w:pPr>
        <w:pStyle w:val="StandardWeb"/>
        <w:numPr>
          <w:ilvl w:val="0"/>
          <w:numId w:val="14"/>
        </w:numPr>
        <w:spacing w:before="0" w:beforeAutospacing="0" w:after="0" w:afterAutospacing="0"/>
      </w:pPr>
      <w:r>
        <w:t>provedbu projekata sufinanciranih iz programa prekogranične suradnje Interreg Slovenija – Hrvatska</w:t>
      </w:r>
    </w:p>
    <w:p w14:paraId="1A00E653" w14:textId="77777777" w:rsidR="008029C4" w:rsidRDefault="008029C4" w:rsidP="008029C4">
      <w:pPr>
        <w:pStyle w:val="StandardWeb"/>
        <w:numPr>
          <w:ilvl w:val="0"/>
          <w:numId w:val="14"/>
        </w:numPr>
        <w:spacing w:before="0" w:beforeAutospacing="0" w:after="0" w:afterAutospacing="0"/>
      </w:pPr>
      <w:r>
        <w:t>organizaciju kulturno-gastronomskog sajma prekograničnih tradicija</w:t>
      </w:r>
    </w:p>
    <w:p w14:paraId="2F90AEEF" w14:textId="77777777" w:rsidR="008029C4" w:rsidRDefault="008029C4" w:rsidP="008029C4">
      <w:pPr>
        <w:pStyle w:val="StandardWeb"/>
        <w:spacing w:before="0" w:beforeAutospacing="0" w:after="0" w:afterAutospacing="0"/>
      </w:pPr>
      <w:r>
        <w:rPr>
          <w:rStyle w:val="Naglaeno"/>
        </w:rPr>
        <w:t>Cilj programa</w:t>
      </w:r>
      <w:r>
        <w:br/>
        <w:t>Cilj programa je unaprijediti turističku ponudu, povećati vidljivost općine te potaknuti razvoj lokalnog gospodarstva kroz turizam i prekograničnu suradnju.</w:t>
      </w:r>
    </w:p>
    <w:p w14:paraId="5C93C3D0" w14:textId="77777777" w:rsidR="008029C4" w:rsidRDefault="008029C4" w:rsidP="008029C4">
      <w:pPr>
        <w:pStyle w:val="StandardWeb"/>
        <w:spacing w:before="0" w:beforeAutospacing="0" w:after="0" w:afterAutospacing="0"/>
      </w:pPr>
      <w:r>
        <w:rPr>
          <w:rStyle w:val="Naglaeno"/>
        </w:rPr>
        <w:t>Ostvarenje ciljeva</w:t>
      </w:r>
      <w:r>
        <w:br/>
        <w:t>Tijekom izvještajnog razdoblja uspješno su održane planirane manifestacije i obilježen Dan općine, čime je pridonijeto jačanju društvenog i kulturnog života. Proveden je projekt „Zlatarske avanture“ u okviru programa Interreg Slovenija – Hrvatska, koji se nastavlja i u 2026. godini. Projekt „Gastronomical Heritage in the Mura Region EGTC II“ nije realiziran u 2025. godini zbog kasne objave rezultata natječaja, te je njegova provedba planirana u 2026. godini.</w:t>
      </w:r>
    </w:p>
    <w:p w14:paraId="2BCBFD39" w14:textId="77777777" w:rsidR="008029C4" w:rsidRDefault="008029C4" w:rsidP="008029C4">
      <w:pPr>
        <w:pStyle w:val="StandardWeb"/>
        <w:spacing w:before="0" w:beforeAutospacing="0" w:after="0" w:afterAutospacing="0"/>
      </w:pPr>
      <w:r>
        <w:rPr>
          <w:rStyle w:val="Naglaeno"/>
        </w:rPr>
        <w:lastRenderedPageBreak/>
        <w:t>Pokazatelji uspješnosti</w:t>
      </w:r>
    </w:p>
    <w:p w14:paraId="4BBE3472" w14:textId="77777777" w:rsidR="008029C4" w:rsidRDefault="008029C4" w:rsidP="008029C4">
      <w:pPr>
        <w:pStyle w:val="StandardWeb"/>
        <w:numPr>
          <w:ilvl w:val="0"/>
          <w:numId w:val="15"/>
        </w:numPr>
        <w:spacing w:before="0" w:beforeAutospacing="0" w:after="0" w:afterAutospacing="0"/>
      </w:pPr>
      <w:r>
        <w:rPr>
          <w:rStyle w:val="Istaknuto"/>
        </w:rPr>
        <w:t>Pokazatelji učinka</w:t>
      </w:r>
      <w:r>
        <w:t>: povećan broj i kvaliteta turističkih i kulturnih sadržaja te jačanje prekogranične suradnje</w:t>
      </w:r>
    </w:p>
    <w:p w14:paraId="5AEED0DB" w14:textId="77777777" w:rsidR="008029C4" w:rsidRDefault="008029C4" w:rsidP="008029C4">
      <w:pPr>
        <w:pStyle w:val="StandardWeb"/>
        <w:numPr>
          <w:ilvl w:val="0"/>
          <w:numId w:val="15"/>
        </w:numPr>
        <w:spacing w:before="0" w:beforeAutospacing="0" w:after="0" w:afterAutospacing="0"/>
      </w:pPr>
      <w:r>
        <w:rPr>
          <w:rStyle w:val="Istaknuto"/>
        </w:rPr>
        <w:t>Pokazatelji rezultata</w:t>
      </w:r>
      <w:r>
        <w:t>: uspješno održane manifestacije, provedeni i započeti projekti financirani iz EU fondova</w:t>
      </w:r>
    </w:p>
    <w:p w14:paraId="16CF3A6D"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27012B69" w14:textId="77777777" w:rsidR="008029C4" w:rsidRDefault="008029C4" w:rsidP="008029C4">
      <w:pPr>
        <w:pStyle w:val="StandardWeb"/>
        <w:spacing w:before="0" w:beforeAutospacing="0" w:after="0" w:afterAutospacing="0"/>
        <w:jc w:val="both"/>
      </w:pPr>
      <w:r>
        <w:t>Ukupna realizacija Programa 1007 iznosi 92,87% u odnosu na planirana sredstva. Manje odstupanje od plana rezultat je neprovedbe jednog od planiranih projekata u izvještajnoj godini, čija je realizacija pomaknuta na 2026. godinu.</w:t>
      </w:r>
    </w:p>
    <w:p w14:paraId="5DADF809" w14:textId="77777777" w:rsidR="008029C4" w:rsidRDefault="008029C4" w:rsidP="008029C4">
      <w:pPr>
        <w:pStyle w:val="StandardWeb"/>
        <w:spacing w:before="0" w:beforeAutospacing="0" w:after="0" w:afterAutospacing="0"/>
        <w:jc w:val="both"/>
      </w:pPr>
    </w:p>
    <w:p w14:paraId="72EB1D61" w14:textId="77777777" w:rsidR="008029C4" w:rsidRPr="00A077A5" w:rsidRDefault="008029C4" w:rsidP="008029C4">
      <w:pPr>
        <w:pStyle w:val="StandardWeb"/>
        <w:spacing w:before="0" w:beforeAutospacing="0" w:after="0" w:afterAutospacing="0"/>
        <w:rPr>
          <w:u w:val="single"/>
        </w:rPr>
      </w:pPr>
      <w:r w:rsidRPr="00A077A5">
        <w:rPr>
          <w:rStyle w:val="Naglaeno"/>
          <w:u w:val="single"/>
        </w:rPr>
        <w:t>Program 1008 Prostorno uređenje i unapređenje stanovanja</w:t>
      </w:r>
    </w:p>
    <w:p w14:paraId="40D301F5" w14:textId="77777777" w:rsidR="008029C4" w:rsidRDefault="008029C4" w:rsidP="008029C4">
      <w:pPr>
        <w:pStyle w:val="StandardWeb"/>
        <w:spacing w:before="0" w:beforeAutospacing="0" w:after="0" w:afterAutospacing="0"/>
      </w:pPr>
      <w:r>
        <w:t>Program 1008 Prostorno uređenje i unapređenje stanovanja usmjeren je na plansko uređenje prostora, razvoj komunalne infrastrukture te poboljšanje uvjeta stanovanja na području općine.</w:t>
      </w:r>
    </w:p>
    <w:p w14:paraId="79FEE73F" w14:textId="77777777" w:rsidR="008029C4" w:rsidRDefault="008029C4" w:rsidP="008029C4">
      <w:pPr>
        <w:pStyle w:val="StandardWeb"/>
        <w:spacing w:before="0" w:beforeAutospacing="0" w:after="0" w:afterAutospacing="0"/>
      </w:pPr>
      <w:r>
        <w:t>U okviru programa planirani su i realizirani rashodi za:</w:t>
      </w:r>
    </w:p>
    <w:p w14:paraId="42FA5485" w14:textId="77777777" w:rsidR="008029C4" w:rsidRDefault="008029C4" w:rsidP="008029C4">
      <w:pPr>
        <w:pStyle w:val="StandardWeb"/>
        <w:numPr>
          <w:ilvl w:val="0"/>
          <w:numId w:val="16"/>
        </w:numPr>
        <w:spacing w:before="0" w:beforeAutospacing="0" w:after="0" w:afterAutospacing="0"/>
      </w:pPr>
      <w:r>
        <w:t>geodetske izmjere i izradu prostornih planova</w:t>
      </w:r>
    </w:p>
    <w:p w14:paraId="18895D3E" w14:textId="77777777" w:rsidR="008029C4" w:rsidRDefault="008029C4" w:rsidP="008029C4">
      <w:pPr>
        <w:pStyle w:val="StandardWeb"/>
        <w:numPr>
          <w:ilvl w:val="0"/>
          <w:numId w:val="16"/>
        </w:numPr>
        <w:spacing w:before="0" w:beforeAutospacing="0" w:after="0" w:afterAutospacing="0"/>
      </w:pPr>
      <w:r>
        <w:t>ulaganja u nefinancijsku imovinu</w:t>
      </w:r>
    </w:p>
    <w:p w14:paraId="68CACEB7" w14:textId="77777777" w:rsidR="008029C4" w:rsidRDefault="008029C4" w:rsidP="008029C4">
      <w:pPr>
        <w:pStyle w:val="StandardWeb"/>
        <w:numPr>
          <w:ilvl w:val="0"/>
          <w:numId w:val="16"/>
        </w:numPr>
        <w:spacing w:before="0" w:beforeAutospacing="0" w:after="0" w:afterAutospacing="0"/>
      </w:pPr>
      <w:r>
        <w:t>održavanje komunalne infrastrukture</w:t>
      </w:r>
    </w:p>
    <w:p w14:paraId="47692F5A" w14:textId="77777777" w:rsidR="008029C4" w:rsidRDefault="008029C4" w:rsidP="008029C4">
      <w:pPr>
        <w:pStyle w:val="StandardWeb"/>
        <w:numPr>
          <w:ilvl w:val="0"/>
          <w:numId w:val="16"/>
        </w:numPr>
        <w:spacing w:before="0" w:beforeAutospacing="0" w:after="0" w:afterAutospacing="0"/>
      </w:pPr>
      <w:r>
        <w:t>održavanje groblja i plaćanje pričuve</w:t>
      </w:r>
    </w:p>
    <w:p w14:paraId="294A669D" w14:textId="77777777" w:rsidR="008029C4" w:rsidRDefault="008029C4" w:rsidP="008029C4">
      <w:pPr>
        <w:pStyle w:val="StandardWeb"/>
        <w:numPr>
          <w:ilvl w:val="0"/>
          <w:numId w:val="16"/>
        </w:numPr>
        <w:spacing w:before="0" w:beforeAutospacing="0" w:after="0" w:afterAutospacing="0"/>
      </w:pPr>
      <w:r>
        <w:t>ostale komunalne usluge</w:t>
      </w:r>
    </w:p>
    <w:p w14:paraId="264F637D" w14:textId="77777777" w:rsidR="008029C4" w:rsidRDefault="008029C4" w:rsidP="008029C4">
      <w:pPr>
        <w:pStyle w:val="StandardWeb"/>
        <w:numPr>
          <w:ilvl w:val="0"/>
          <w:numId w:val="16"/>
        </w:numPr>
        <w:spacing w:before="0" w:beforeAutospacing="0" w:after="0" w:afterAutospacing="0"/>
      </w:pPr>
      <w:r>
        <w:t>rušenje objekta stare škole</w:t>
      </w:r>
    </w:p>
    <w:p w14:paraId="4EA86CB4" w14:textId="77777777" w:rsidR="008029C4" w:rsidRDefault="008029C4" w:rsidP="008029C4">
      <w:pPr>
        <w:pStyle w:val="StandardWeb"/>
        <w:numPr>
          <w:ilvl w:val="0"/>
          <w:numId w:val="16"/>
        </w:numPr>
        <w:spacing w:before="0" w:beforeAutospacing="0" w:after="0" w:afterAutospacing="0"/>
      </w:pPr>
      <w:r>
        <w:t>izgradnju i održavanje građevinskih objekata</w:t>
      </w:r>
    </w:p>
    <w:p w14:paraId="2E5F1B5F" w14:textId="77777777" w:rsidR="008029C4" w:rsidRDefault="008029C4" w:rsidP="008029C4">
      <w:pPr>
        <w:pStyle w:val="StandardWeb"/>
        <w:numPr>
          <w:ilvl w:val="0"/>
          <w:numId w:val="16"/>
        </w:numPr>
        <w:spacing w:before="0" w:beforeAutospacing="0" w:after="0" w:afterAutospacing="0"/>
      </w:pPr>
      <w:r>
        <w:t>razvoj širokopojasne infrastrukture</w:t>
      </w:r>
    </w:p>
    <w:p w14:paraId="11A9C728" w14:textId="77777777" w:rsidR="008029C4" w:rsidRDefault="008029C4" w:rsidP="008029C4">
      <w:pPr>
        <w:pStyle w:val="StandardWeb"/>
        <w:spacing w:before="0" w:beforeAutospacing="0" w:after="0" w:afterAutospacing="0"/>
      </w:pPr>
      <w:r>
        <w:rPr>
          <w:rStyle w:val="Naglaeno"/>
        </w:rPr>
        <w:t>Cilj programa</w:t>
      </w:r>
      <w:r>
        <w:br/>
        <w:t>Cilj programa je osigurati kvalitetno upravljanje prostorom, unaprijediti komunalnu opremljenost te poboljšati uvjete života stanovništva.</w:t>
      </w:r>
    </w:p>
    <w:p w14:paraId="394A137C" w14:textId="77777777" w:rsidR="008029C4" w:rsidRDefault="008029C4" w:rsidP="008029C4">
      <w:pPr>
        <w:pStyle w:val="StandardWeb"/>
        <w:spacing w:before="0" w:beforeAutospacing="0" w:after="0" w:afterAutospacing="0"/>
      </w:pPr>
      <w:r>
        <w:rPr>
          <w:rStyle w:val="Naglaeno"/>
        </w:rPr>
        <w:t>Ostvarenje ciljeva</w:t>
      </w:r>
      <w:r>
        <w:br/>
        <w:t>Provedbom programa realizirane su aktivnosti vezane uz održavanje i razvoj komunalne infrastrukture, uređivanje prostora te pripreme vezane uz  uklanjanje zgrade stare škole. Također su poduzete aktivnosti na razvoju širokopojasne infrastrukture, no kako radovi nisu završeni u 2025. godini te je plaćeni predujam, a rashod će biti po završetku radova.</w:t>
      </w:r>
    </w:p>
    <w:p w14:paraId="69DA6099" w14:textId="77777777" w:rsidR="008029C4" w:rsidRDefault="008029C4" w:rsidP="008029C4">
      <w:pPr>
        <w:pStyle w:val="StandardWeb"/>
        <w:spacing w:before="0" w:beforeAutospacing="0" w:after="0" w:afterAutospacing="0"/>
      </w:pPr>
      <w:r>
        <w:rPr>
          <w:rStyle w:val="Naglaeno"/>
        </w:rPr>
        <w:t>Pokazatelji uspješnosti</w:t>
      </w:r>
    </w:p>
    <w:p w14:paraId="79B8C4A4" w14:textId="77777777" w:rsidR="008029C4" w:rsidRDefault="008029C4" w:rsidP="008029C4">
      <w:pPr>
        <w:pStyle w:val="StandardWeb"/>
        <w:numPr>
          <w:ilvl w:val="0"/>
          <w:numId w:val="17"/>
        </w:numPr>
        <w:spacing w:before="0" w:beforeAutospacing="0" w:after="0" w:afterAutospacing="0"/>
      </w:pPr>
      <w:r>
        <w:rPr>
          <w:rStyle w:val="Istaknuto"/>
        </w:rPr>
        <w:t>Pokazatelji učinka</w:t>
      </w:r>
      <w:r>
        <w:t>: unaprijeđena komunalna infrastruktura i uređeni prostorni uvjeti</w:t>
      </w:r>
    </w:p>
    <w:p w14:paraId="405CB978" w14:textId="77777777" w:rsidR="008029C4" w:rsidRDefault="008029C4" w:rsidP="008029C4">
      <w:pPr>
        <w:pStyle w:val="StandardWeb"/>
        <w:numPr>
          <w:ilvl w:val="0"/>
          <w:numId w:val="17"/>
        </w:numPr>
        <w:spacing w:before="0" w:beforeAutospacing="0" w:after="0" w:afterAutospacing="0"/>
      </w:pPr>
      <w:r>
        <w:rPr>
          <w:rStyle w:val="Istaknuto"/>
        </w:rPr>
        <w:t>Pokazatelji rezultata</w:t>
      </w:r>
      <w:r>
        <w:t>: provedene geodetske i planske aktivnosti, održavana komunalna infrastruktura te poduzeti koraci u razvoju širokopojasne mreže i na uklanjanju zgrade stare škole.</w:t>
      </w:r>
    </w:p>
    <w:p w14:paraId="40440E08" w14:textId="77777777" w:rsidR="008029C4" w:rsidRDefault="008029C4" w:rsidP="008029C4">
      <w:pPr>
        <w:pStyle w:val="StandardWeb"/>
        <w:spacing w:before="0" w:beforeAutospacing="0" w:after="0" w:afterAutospacing="0"/>
      </w:pPr>
      <w:r>
        <w:rPr>
          <w:rStyle w:val="Naglaeno"/>
        </w:rPr>
        <w:t>Izvršenje programa</w:t>
      </w:r>
      <w:r>
        <w:br/>
        <w:t>Ukupna realizacija Programa 1008 iznosi 89,50% u odnosu na planirana sredstva. Odstupanje od plana rezultat je dinamike realizacije pojedinih aktivnosti i projekata unutar programa.</w:t>
      </w:r>
    </w:p>
    <w:p w14:paraId="12B7491C" w14:textId="77777777" w:rsidR="008029C4" w:rsidRDefault="008029C4" w:rsidP="008029C4">
      <w:pPr>
        <w:pStyle w:val="StandardWeb"/>
        <w:spacing w:before="0" w:beforeAutospacing="0" w:after="0" w:afterAutospacing="0"/>
      </w:pPr>
    </w:p>
    <w:p w14:paraId="1C7C822D" w14:textId="77777777" w:rsidR="008029C4" w:rsidRDefault="008029C4" w:rsidP="008029C4">
      <w:pPr>
        <w:pStyle w:val="StandardWeb"/>
        <w:spacing w:before="0" w:beforeAutospacing="0" w:after="0" w:afterAutospacing="0"/>
      </w:pPr>
    </w:p>
    <w:p w14:paraId="6F9ACB5E" w14:textId="77777777" w:rsidR="008029C4" w:rsidRDefault="008029C4" w:rsidP="008029C4">
      <w:pPr>
        <w:pStyle w:val="StandardWeb"/>
        <w:spacing w:before="0" w:beforeAutospacing="0" w:after="0" w:afterAutospacing="0"/>
      </w:pPr>
    </w:p>
    <w:p w14:paraId="0DDB0FCB" w14:textId="77777777" w:rsidR="008029C4" w:rsidRPr="00B40820" w:rsidRDefault="008029C4" w:rsidP="008029C4">
      <w:pPr>
        <w:pStyle w:val="StandardWeb"/>
        <w:spacing w:before="0" w:beforeAutospacing="0" w:after="0" w:afterAutospacing="0"/>
        <w:rPr>
          <w:u w:val="single"/>
        </w:rPr>
      </w:pPr>
      <w:r w:rsidRPr="00B40820">
        <w:rPr>
          <w:rStyle w:val="Naglaeno"/>
          <w:u w:val="single"/>
        </w:rPr>
        <w:lastRenderedPageBreak/>
        <w:t>Program 1009 Organiziranje i provođenje zaštite i spašavanja</w:t>
      </w:r>
    </w:p>
    <w:p w14:paraId="27F98BC8" w14:textId="77777777" w:rsidR="008029C4" w:rsidRDefault="008029C4" w:rsidP="008029C4">
      <w:pPr>
        <w:pStyle w:val="StandardWeb"/>
        <w:spacing w:before="0" w:beforeAutospacing="0" w:after="0" w:afterAutospacing="0"/>
      </w:pPr>
      <w:r>
        <w:t>Program 1009 Organiziranje i provođenje zaštite i spašavanja usmjeren je na osiguravanje sustava zaštite stanovništva, imovine i okoliša od rizika i izvanrednih situacija.</w:t>
      </w:r>
    </w:p>
    <w:p w14:paraId="2B743181" w14:textId="77777777" w:rsidR="008029C4" w:rsidRDefault="008029C4" w:rsidP="008029C4">
      <w:pPr>
        <w:pStyle w:val="StandardWeb"/>
        <w:spacing w:before="0" w:beforeAutospacing="0" w:after="0" w:afterAutospacing="0"/>
      </w:pPr>
      <w:r>
        <w:t>U okviru programa planirani su i realizirani rashodi za:</w:t>
      </w:r>
    </w:p>
    <w:p w14:paraId="239BDE08" w14:textId="77777777" w:rsidR="008029C4" w:rsidRDefault="008029C4" w:rsidP="008029C4">
      <w:pPr>
        <w:pStyle w:val="StandardWeb"/>
        <w:numPr>
          <w:ilvl w:val="0"/>
          <w:numId w:val="18"/>
        </w:numPr>
        <w:spacing w:before="0" w:beforeAutospacing="0" w:after="0" w:afterAutospacing="0"/>
      </w:pPr>
      <w:r>
        <w:t>aktivnosti vezane uz sigurnost i zaštitu od požara</w:t>
      </w:r>
    </w:p>
    <w:p w14:paraId="2DA1AD47" w14:textId="77777777" w:rsidR="008029C4" w:rsidRDefault="008029C4" w:rsidP="008029C4">
      <w:pPr>
        <w:pStyle w:val="StandardWeb"/>
        <w:numPr>
          <w:ilvl w:val="0"/>
          <w:numId w:val="18"/>
        </w:numPr>
        <w:spacing w:before="0" w:beforeAutospacing="0" w:after="0" w:afterAutospacing="0"/>
      </w:pPr>
      <w:r>
        <w:t>sustav zaštite i spašavanja</w:t>
      </w:r>
    </w:p>
    <w:p w14:paraId="2E814480" w14:textId="77777777" w:rsidR="008029C4" w:rsidRDefault="008029C4" w:rsidP="008029C4">
      <w:pPr>
        <w:pStyle w:val="StandardWeb"/>
        <w:numPr>
          <w:ilvl w:val="0"/>
          <w:numId w:val="18"/>
        </w:numPr>
        <w:spacing w:before="0" w:beforeAutospacing="0" w:after="0" w:afterAutospacing="0"/>
      </w:pPr>
      <w:r>
        <w:t>djelovanje i opremanje civilne zaštite</w:t>
      </w:r>
    </w:p>
    <w:p w14:paraId="302DB5D2" w14:textId="77777777" w:rsidR="008029C4" w:rsidRDefault="008029C4" w:rsidP="008029C4">
      <w:pPr>
        <w:pStyle w:val="StandardWeb"/>
        <w:spacing w:before="0" w:beforeAutospacing="0" w:after="0" w:afterAutospacing="0"/>
      </w:pPr>
      <w:r>
        <w:rPr>
          <w:rStyle w:val="Naglaeno"/>
        </w:rPr>
        <w:t>Cilj programa</w:t>
      </w:r>
      <w:r>
        <w:br/>
        <w:t>Cilj programa je osigurati učinkovito funkcioniranje sustava zaštite i spašavanja te pravovremeno reagiranje u slučaju izvanrednih događaja.</w:t>
      </w:r>
    </w:p>
    <w:p w14:paraId="64A51287" w14:textId="77777777" w:rsidR="008029C4" w:rsidRDefault="008029C4" w:rsidP="008029C4">
      <w:pPr>
        <w:pStyle w:val="StandardWeb"/>
        <w:spacing w:before="0" w:beforeAutospacing="0" w:after="0" w:afterAutospacing="0"/>
      </w:pPr>
      <w:r>
        <w:rPr>
          <w:rStyle w:val="Naglaeno"/>
        </w:rPr>
        <w:t>Ostvarenje ciljeva</w:t>
      </w:r>
      <w:r>
        <w:br/>
        <w:t>Provedbom programa osigurano je redovito funkcioniranje sustava zaštite od požara, kao i sustava civilne zaštite i spašavanja. Time su stvoreni uvjeti za pravovremenu i učinkovitu reakciju u slučaju potrebe te povećana sigurnost stanovništva.</w:t>
      </w:r>
    </w:p>
    <w:p w14:paraId="2BC4ABB2" w14:textId="77777777" w:rsidR="008029C4" w:rsidRDefault="008029C4" w:rsidP="008029C4">
      <w:pPr>
        <w:pStyle w:val="StandardWeb"/>
        <w:spacing w:before="0" w:beforeAutospacing="0" w:after="0" w:afterAutospacing="0"/>
      </w:pPr>
      <w:r>
        <w:rPr>
          <w:rStyle w:val="Naglaeno"/>
        </w:rPr>
        <w:t>Pokazatelji uspješnosti</w:t>
      </w:r>
    </w:p>
    <w:p w14:paraId="32FB9FA9" w14:textId="77777777" w:rsidR="008029C4" w:rsidRDefault="008029C4" w:rsidP="008029C4">
      <w:pPr>
        <w:pStyle w:val="StandardWeb"/>
        <w:numPr>
          <w:ilvl w:val="0"/>
          <w:numId w:val="19"/>
        </w:numPr>
        <w:spacing w:before="0" w:beforeAutospacing="0" w:after="0" w:afterAutospacing="0"/>
      </w:pPr>
      <w:r>
        <w:rPr>
          <w:rStyle w:val="Istaknuto"/>
        </w:rPr>
        <w:t>Pokazatelji učinka</w:t>
      </w:r>
      <w:r>
        <w:t>: osigurana spremnost sustava zaštite i spašavanja te povećana razina sigurnosti</w:t>
      </w:r>
    </w:p>
    <w:p w14:paraId="7A28E19F" w14:textId="77777777" w:rsidR="008029C4" w:rsidRDefault="008029C4" w:rsidP="008029C4">
      <w:pPr>
        <w:pStyle w:val="StandardWeb"/>
        <w:numPr>
          <w:ilvl w:val="0"/>
          <w:numId w:val="19"/>
        </w:numPr>
        <w:spacing w:before="0" w:beforeAutospacing="0" w:after="0" w:afterAutospacing="0"/>
      </w:pPr>
      <w:r>
        <w:rPr>
          <w:rStyle w:val="Istaknuto"/>
        </w:rPr>
        <w:t>Pokazatelji rezultata</w:t>
      </w:r>
      <w:r>
        <w:t>: kontinuirano financiranje i funkcioniranje vatrogasnih i drugih službi te sustava civilne zaštite</w:t>
      </w:r>
    </w:p>
    <w:p w14:paraId="0D6478B1"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6276CF61" w14:textId="77777777" w:rsidR="008029C4" w:rsidRDefault="008029C4" w:rsidP="008029C4">
      <w:pPr>
        <w:pStyle w:val="StandardWeb"/>
        <w:spacing w:before="0" w:beforeAutospacing="0" w:after="0" w:afterAutospacing="0"/>
        <w:jc w:val="both"/>
      </w:pPr>
      <w:r>
        <w:t>Ukupna realizacija Programa 1009 iznosi 101,27% u odnosu na planirana sredstva. Blago prekoračenje plana rezultat je povećanih potreba u sigurnosti i zaštite od požara tijekom godine.</w:t>
      </w:r>
    </w:p>
    <w:p w14:paraId="2078B8E1" w14:textId="77777777" w:rsidR="008029C4" w:rsidRDefault="008029C4" w:rsidP="008029C4">
      <w:pPr>
        <w:pStyle w:val="StandardWeb"/>
        <w:spacing w:before="0" w:beforeAutospacing="0" w:after="0" w:afterAutospacing="0"/>
        <w:jc w:val="both"/>
      </w:pPr>
    </w:p>
    <w:p w14:paraId="02FE951B" w14:textId="77777777" w:rsidR="008029C4" w:rsidRPr="00AF06B1" w:rsidRDefault="008029C4" w:rsidP="008029C4">
      <w:pPr>
        <w:pStyle w:val="StandardWeb"/>
        <w:spacing w:before="0" w:beforeAutospacing="0" w:after="0" w:afterAutospacing="0"/>
        <w:rPr>
          <w:u w:val="single"/>
        </w:rPr>
      </w:pPr>
      <w:r w:rsidRPr="00AF06B1">
        <w:rPr>
          <w:rStyle w:val="Naglaeno"/>
          <w:u w:val="single"/>
        </w:rPr>
        <w:t>Program 1012 Promicanje kulture</w:t>
      </w:r>
    </w:p>
    <w:p w14:paraId="7BAAF09E" w14:textId="77777777" w:rsidR="008029C4" w:rsidRDefault="008029C4" w:rsidP="008029C4">
      <w:pPr>
        <w:pStyle w:val="StandardWeb"/>
        <w:spacing w:before="0" w:beforeAutospacing="0" w:after="0" w:afterAutospacing="0"/>
      </w:pPr>
      <w:r>
        <w:t>Program 1012 Promicanje kulture usmjeren je na razvoj i očuvanje kulturnih vrijednosti, poticanje kulturnog stvaralaštva te ulaganje u kulturnu infrastrukturu na području općine.</w:t>
      </w:r>
    </w:p>
    <w:p w14:paraId="67DDC600" w14:textId="77777777" w:rsidR="008029C4" w:rsidRDefault="008029C4" w:rsidP="008029C4">
      <w:pPr>
        <w:pStyle w:val="StandardWeb"/>
        <w:spacing w:before="0" w:beforeAutospacing="0" w:after="0" w:afterAutospacing="0"/>
      </w:pPr>
      <w:r>
        <w:t>U okviru programa planirani su i realizirani rashodi za:</w:t>
      </w:r>
    </w:p>
    <w:p w14:paraId="4201CE6F" w14:textId="77777777" w:rsidR="008029C4" w:rsidRDefault="008029C4" w:rsidP="008029C4">
      <w:pPr>
        <w:pStyle w:val="StandardWeb"/>
        <w:numPr>
          <w:ilvl w:val="0"/>
          <w:numId w:val="20"/>
        </w:numPr>
        <w:spacing w:before="0" w:beforeAutospacing="0" w:after="0" w:afterAutospacing="0"/>
      </w:pPr>
      <w:r>
        <w:t>javne potrebe u kulturi, odnosno tekuće donacije kulturnim udrugama</w:t>
      </w:r>
    </w:p>
    <w:p w14:paraId="5A594965" w14:textId="77777777" w:rsidR="008029C4" w:rsidRDefault="008029C4" w:rsidP="008029C4">
      <w:pPr>
        <w:pStyle w:val="StandardWeb"/>
        <w:numPr>
          <w:ilvl w:val="0"/>
          <w:numId w:val="20"/>
        </w:numPr>
        <w:spacing w:before="0" w:beforeAutospacing="0" w:after="0" w:afterAutospacing="0"/>
      </w:pPr>
      <w:r>
        <w:t>izdavanje općinske monografije</w:t>
      </w:r>
    </w:p>
    <w:p w14:paraId="2E619610" w14:textId="77777777" w:rsidR="008029C4" w:rsidRDefault="008029C4" w:rsidP="008029C4">
      <w:pPr>
        <w:pStyle w:val="StandardWeb"/>
        <w:numPr>
          <w:ilvl w:val="0"/>
          <w:numId w:val="20"/>
        </w:numPr>
        <w:spacing w:before="0" w:beforeAutospacing="0" w:after="0" w:afterAutospacing="0"/>
      </w:pPr>
      <w:r>
        <w:t>provedbu kapitalnog projekta Interpretacijski centar „Palača međimurske popevke“</w:t>
      </w:r>
    </w:p>
    <w:p w14:paraId="70C6ACA4" w14:textId="77777777" w:rsidR="008029C4" w:rsidRDefault="008029C4" w:rsidP="008029C4">
      <w:pPr>
        <w:pStyle w:val="StandardWeb"/>
        <w:numPr>
          <w:ilvl w:val="0"/>
          <w:numId w:val="20"/>
        </w:numPr>
        <w:spacing w:before="0" w:beforeAutospacing="0" w:after="0" w:afterAutospacing="0"/>
      </w:pPr>
      <w:r>
        <w:t>obnovu pročelja kuće Zalan</w:t>
      </w:r>
    </w:p>
    <w:p w14:paraId="10D9FEB3" w14:textId="77777777" w:rsidR="008029C4" w:rsidRDefault="008029C4" w:rsidP="008029C4">
      <w:pPr>
        <w:pStyle w:val="StandardWeb"/>
        <w:spacing w:before="0" w:beforeAutospacing="0" w:after="0" w:afterAutospacing="0"/>
      </w:pPr>
      <w:r>
        <w:rPr>
          <w:rStyle w:val="Naglaeno"/>
        </w:rPr>
        <w:t>Cilj programa</w:t>
      </w:r>
      <w:r>
        <w:br/>
        <w:t>Cilj programa je očuvanje kulturne baštine, poticanje rada kulturnih udruga te razvoj kulturne infrastrukture i sadržaja.</w:t>
      </w:r>
    </w:p>
    <w:p w14:paraId="160CDAE4" w14:textId="77777777" w:rsidR="008029C4" w:rsidRDefault="008029C4" w:rsidP="008029C4">
      <w:pPr>
        <w:pStyle w:val="StandardWeb"/>
        <w:spacing w:before="0" w:beforeAutospacing="0" w:after="0" w:afterAutospacing="0"/>
      </w:pPr>
      <w:r>
        <w:rPr>
          <w:rStyle w:val="Naglaeno"/>
        </w:rPr>
        <w:t>Ostvarenje ciljeva</w:t>
      </w:r>
      <w:r>
        <w:br/>
        <w:t>Provedbom programa osigurano je financiranje rada kulturnih udruga, koje je realizirano u cijelosti. Također su poduzete aktivnosti na izdavanju općinske monografije te obnovi kulturne baštine, uključujući obnovu pročelja kuće Zalan. Najznačajniji projekt, Interpretacijski centar „Palača međimurske popevke“, u provedbi je, no njegova realizacija nije završena u planiranom roku zbog izvanrednih okolnosti na projektu, dodatnih radova i nepovoljnih vremenskih uvjeta. Završetak radova planiran je do kraja lipnja 2026. godine.</w:t>
      </w:r>
    </w:p>
    <w:p w14:paraId="063629B5" w14:textId="77777777" w:rsidR="008029C4" w:rsidRDefault="008029C4" w:rsidP="008029C4">
      <w:pPr>
        <w:pStyle w:val="StandardWeb"/>
        <w:spacing w:before="0" w:beforeAutospacing="0" w:after="0" w:afterAutospacing="0"/>
      </w:pPr>
      <w:r>
        <w:rPr>
          <w:rStyle w:val="Naglaeno"/>
        </w:rPr>
        <w:t>Pokazatelji uspješnosti</w:t>
      </w:r>
    </w:p>
    <w:p w14:paraId="66EAC62A" w14:textId="77777777" w:rsidR="008029C4" w:rsidRDefault="008029C4" w:rsidP="008029C4">
      <w:pPr>
        <w:pStyle w:val="StandardWeb"/>
        <w:numPr>
          <w:ilvl w:val="0"/>
          <w:numId w:val="21"/>
        </w:numPr>
        <w:spacing w:before="0" w:beforeAutospacing="0" w:after="0" w:afterAutospacing="0"/>
      </w:pPr>
      <w:r>
        <w:rPr>
          <w:rStyle w:val="Istaknuto"/>
        </w:rPr>
        <w:lastRenderedPageBreak/>
        <w:t>Pokazatelji učinka</w:t>
      </w:r>
      <w:r>
        <w:t>: unaprijeđena kulturna ponuda i očuvana kulturna baština</w:t>
      </w:r>
    </w:p>
    <w:p w14:paraId="57C1290D" w14:textId="77777777" w:rsidR="008029C4" w:rsidRDefault="008029C4" w:rsidP="008029C4">
      <w:pPr>
        <w:pStyle w:val="StandardWeb"/>
        <w:numPr>
          <w:ilvl w:val="0"/>
          <w:numId w:val="21"/>
        </w:numPr>
        <w:spacing w:before="0" w:beforeAutospacing="0" w:after="0" w:afterAutospacing="0"/>
      </w:pPr>
      <w:r>
        <w:rPr>
          <w:rStyle w:val="Istaknuto"/>
        </w:rPr>
        <w:t>Pokazatelji rezultata</w:t>
      </w:r>
      <w:r>
        <w:t>: u cijelosti realizirane donacije kulturnim udrugama, provedene aktivnosti na kulturnim projektima te nastavak realizacije kapitalnog projekta</w:t>
      </w:r>
    </w:p>
    <w:p w14:paraId="2850B1DD"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13D0EE81" w14:textId="52596096" w:rsidR="008029C4" w:rsidRDefault="008029C4" w:rsidP="008029C4">
      <w:pPr>
        <w:pStyle w:val="StandardWeb"/>
        <w:spacing w:before="0" w:beforeAutospacing="0" w:after="0" w:afterAutospacing="0"/>
        <w:jc w:val="both"/>
      </w:pPr>
      <w:r>
        <w:t>Ukupna realizacija Programa 1012 iznosi 68,66% u odnosu na planirana sredstva. Odstupanje od plana najvećim je dijelom rezultat produženja roka izvođenja radova na projektu Interpretacijskog centra, čija se realizacija nastavlja u 2026. godini.</w:t>
      </w:r>
    </w:p>
    <w:p w14:paraId="515A7439" w14:textId="77777777" w:rsidR="008029C4" w:rsidRDefault="008029C4" w:rsidP="008029C4">
      <w:pPr>
        <w:pStyle w:val="StandardWeb"/>
        <w:spacing w:before="0" w:beforeAutospacing="0" w:after="0" w:afterAutospacing="0"/>
        <w:jc w:val="both"/>
      </w:pPr>
    </w:p>
    <w:p w14:paraId="162992BD" w14:textId="77777777" w:rsidR="008029C4" w:rsidRPr="003A6A72" w:rsidRDefault="008029C4" w:rsidP="008029C4">
      <w:pPr>
        <w:pStyle w:val="StandardWeb"/>
        <w:spacing w:before="0" w:beforeAutospacing="0" w:after="0" w:afterAutospacing="0"/>
        <w:rPr>
          <w:u w:val="single"/>
        </w:rPr>
      </w:pPr>
      <w:r w:rsidRPr="003A6A72">
        <w:rPr>
          <w:rStyle w:val="Naglaeno"/>
          <w:u w:val="single"/>
        </w:rPr>
        <w:t>Program 1013 Razvoj sporta i rekreacije</w:t>
      </w:r>
    </w:p>
    <w:p w14:paraId="53EF22F1" w14:textId="77777777" w:rsidR="008029C4" w:rsidRDefault="008029C4" w:rsidP="008029C4">
      <w:pPr>
        <w:pStyle w:val="StandardWeb"/>
        <w:spacing w:before="0" w:beforeAutospacing="0" w:after="0" w:afterAutospacing="0"/>
      </w:pPr>
      <w:r>
        <w:t>Program 1013 Razvoj sporta i rekreacije usmjeren je na poticanje sportskih aktivnosti, unapređenje sportske infrastrukture te promicanje zdravog načina života.</w:t>
      </w:r>
    </w:p>
    <w:p w14:paraId="181C5FEE" w14:textId="77777777" w:rsidR="008029C4" w:rsidRDefault="008029C4" w:rsidP="008029C4">
      <w:pPr>
        <w:pStyle w:val="StandardWeb"/>
        <w:spacing w:before="0" w:beforeAutospacing="0" w:after="0" w:afterAutospacing="0"/>
      </w:pPr>
      <w:r>
        <w:t>U okviru programa planirani su i realizirani rashodi za:</w:t>
      </w:r>
    </w:p>
    <w:p w14:paraId="1398E1EA" w14:textId="77777777" w:rsidR="008029C4" w:rsidRDefault="008029C4" w:rsidP="008029C4">
      <w:pPr>
        <w:pStyle w:val="StandardWeb"/>
        <w:numPr>
          <w:ilvl w:val="0"/>
          <w:numId w:val="22"/>
        </w:numPr>
        <w:spacing w:before="0" w:beforeAutospacing="0" w:after="0" w:afterAutospacing="0"/>
      </w:pPr>
      <w:r>
        <w:t>tekuće donacije sportskim udrugama</w:t>
      </w:r>
    </w:p>
    <w:p w14:paraId="6B1F872D" w14:textId="77777777" w:rsidR="008029C4" w:rsidRDefault="008029C4" w:rsidP="008029C4">
      <w:pPr>
        <w:pStyle w:val="StandardWeb"/>
        <w:numPr>
          <w:ilvl w:val="0"/>
          <w:numId w:val="22"/>
        </w:numPr>
        <w:spacing w:before="0" w:beforeAutospacing="0" w:after="0" w:afterAutospacing="0"/>
      </w:pPr>
      <w:r>
        <w:t>održavanje sportskih igrališta i prostora u vlasništvu Općine</w:t>
      </w:r>
    </w:p>
    <w:p w14:paraId="3391B9E4" w14:textId="77777777" w:rsidR="008029C4" w:rsidRDefault="008029C4" w:rsidP="008029C4">
      <w:pPr>
        <w:pStyle w:val="StandardWeb"/>
        <w:spacing w:before="0" w:beforeAutospacing="0" w:after="0" w:afterAutospacing="0"/>
      </w:pPr>
      <w:r>
        <w:rPr>
          <w:rStyle w:val="Naglaeno"/>
        </w:rPr>
        <w:t>Cilj programa</w:t>
      </w:r>
      <w:r>
        <w:br/>
        <w:t>Cilj programa je potaknuti razvoj sporta i rekreacije te osigurati kvalitetne uvjete za bavljenje sportskim aktivnostima.</w:t>
      </w:r>
    </w:p>
    <w:p w14:paraId="78953312" w14:textId="77777777" w:rsidR="008029C4" w:rsidRDefault="008029C4" w:rsidP="008029C4">
      <w:pPr>
        <w:pStyle w:val="StandardWeb"/>
        <w:spacing w:before="0" w:beforeAutospacing="0" w:after="0" w:afterAutospacing="0"/>
      </w:pPr>
      <w:r>
        <w:rPr>
          <w:rStyle w:val="Naglaeno"/>
        </w:rPr>
        <w:t>Ostvarenje ciljeva</w:t>
      </w:r>
      <w:r>
        <w:br/>
        <w:t>Provedbom programa osigurano je kontinuirano financiranje sportskih udruga te održavanje sportskih objekata i prostora, čime su stvoreni uvjeti za redovito odvijanje sportskih i rekreativnih aktivnosti.</w:t>
      </w:r>
    </w:p>
    <w:p w14:paraId="0ED5322D" w14:textId="77777777" w:rsidR="008029C4" w:rsidRDefault="008029C4" w:rsidP="008029C4">
      <w:pPr>
        <w:pStyle w:val="StandardWeb"/>
        <w:spacing w:before="0" w:beforeAutospacing="0" w:after="0" w:afterAutospacing="0"/>
      </w:pPr>
      <w:r>
        <w:rPr>
          <w:rStyle w:val="Naglaeno"/>
        </w:rPr>
        <w:t>Pokazatelji uspješnosti</w:t>
      </w:r>
    </w:p>
    <w:p w14:paraId="23F2ACE9" w14:textId="77777777" w:rsidR="008029C4" w:rsidRDefault="008029C4" w:rsidP="008029C4">
      <w:pPr>
        <w:pStyle w:val="StandardWeb"/>
        <w:numPr>
          <w:ilvl w:val="0"/>
          <w:numId w:val="23"/>
        </w:numPr>
        <w:spacing w:before="0" w:beforeAutospacing="0" w:after="0" w:afterAutospacing="0"/>
      </w:pPr>
      <w:r>
        <w:rPr>
          <w:rStyle w:val="Istaknuto"/>
        </w:rPr>
        <w:t>Pokazatelji učinka</w:t>
      </w:r>
      <w:r>
        <w:t>: unaprijeđeni uvjeti za bavljenje sportom i rekreacijom te povećana dostupnost sportskih sadržaja</w:t>
      </w:r>
    </w:p>
    <w:p w14:paraId="2FE021D7" w14:textId="77777777" w:rsidR="008029C4" w:rsidRDefault="008029C4" w:rsidP="008029C4">
      <w:pPr>
        <w:pStyle w:val="StandardWeb"/>
        <w:numPr>
          <w:ilvl w:val="0"/>
          <w:numId w:val="23"/>
        </w:numPr>
        <w:spacing w:before="0" w:beforeAutospacing="0" w:after="0" w:afterAutospacing="0"/>
      </w:pPr>
      <w:r>
        <w:rPr>
          <w:rStyle w:val="Istaknuto"/>
        </w:rPr>
        <w:t>Pokazatelji rezultata</w:t>
      </w:r>
      <w:r>
        <w:t>: redovito financirane sportske udruge i održavana sportska infrastruktura</w:t>
      </w:r>
    </w:p>
    <w:p w14:paraId="447EFB9D"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56878CF3" w14:textId="77777777" w:rsidR="008029C4" w:rsidRDefault="008029C4" w:rsidP="008029C4">
      <w:pPr>
        <w:pStyle w:val="StandardWeb"/>
        <w:spacing w:before="0" w:beforeAutospacing="0" w:after="0" w:afterAutospacing="0"/>
        <w:jc w:val="both"/>
      </w:pPr>
      <w:r>
        <w:t>Ukupna realizacija Programa 1013 iznosi 99,84% u odnosu na planirana sredstva. Program je gotovo u cijelosti realiziran, a manja odstupanja rezultat su dinamike izvršenja pojedinih rashoda tijekom godine.</w:t>
      </w:r>
    </w:p>
    <w:p w14:paraId="49DB33F5" w14:textId="77777777" w:rsidR="008029C4" w:rsidRDefault="008029C4" w:rsidP="008029C4">
      <w:pPr>
        <w:pStyle w:val="StandardWeb"/>
        <w:spacing w:before="0" w:beforeAutospacing="0" w:after="0" w:afterAutospacing="0"/>
        <w:jc w:val="both"/>
      </w:pPr>
    </w:p>
    <w:p w14:paraId="29373B18" w14:textId="77777777" w:rsidR="008029C4" w:rsidRPr="00A149CC" w:rsidRDefault="008029C4" w:rsidP="008029C4">
      <w:pPr>
        <w:pStyle w:val="StandardWeb"/>
        <w:spacing w:before="0" w:beforeAutospacing="0" w:after="0" w:afterAutospacing="0"/>
        <w:rPr>
          <w:u w:val="single"/>
        </w:rPr>
      </w:pPr>
      <w:r w:rsidRPr="00A149CC">
        <w:rPr>
          <w:rStyle w:val="Naglaeno"/>
          <w:u w:val="single"/>
        </w:rPr>
        <w:t>Program 1015 Socijalna skrb</w:t>
      </w:r>
    </w:p>
    <w:p w14:paraId="46E2C203" w14:textId="77777777" w:rsidR="008029C4" w:rsidRDefault="008029C4" w:rsidP="008029C4">
      <w:pPr>
        <w:pStyle w:val="StandardWeb"/>
        <w:spacing w:before="0" w:beforeAutospacing="0" w:after="0" w:afterAutospacing="0"/>
      </w:pPr>
      <w:r>
        <w:t>Program 1015 Socijalna skrb usmjeren je na pružanje potpore građanima i kućanstvima u skladu s njihovim socijalnim potrebama te osiguranje socijalne sigurnosti u općini.</w:t>
      </w:r>
    </w:p>
    <w:p w14:paraId="0439D312" w14:textId="77777777" w:rsidR="008029C4" w:rsidRDefault="008029C4" w:rsidP="008029C4">
      <w:pPr>
        <w:pStyle w:val="StandardWeb"/>
        <w:spacing w:before="0" w:beforeAutospacing="0" w:after="0" w:afterAutospacing="0"/>
      </w:pPr>
      <w:r>
        <w:t>U okviru programa planirani su i realizirani rashodi za:</w:t>
      </w:r>
    </w:p>
    <w:p w14:paraId="3963152F" w14:textId="77777777" w:rsidR="008029C4" w:rsidRDefault="008029C4" w:rsidP="008029C4">
      <w:pPr>
        <w:pStyle w:val="StandardWeb"/>
        <w:numPr>
          <w:ilvl w:val="0"/>
          <w:numId w:val="24"/>
        </w:numPr>
        <w:spacing w:before="0" w:beforeAutospacing="0" w:after="0" w:afterAutospacing="0"/>
      </w:pPr>
      <w:r>
        <w:t>pružanje pomoći građanima i kućanstvima</w:t>
      </w:r>
    </w:p>
    <w:p w14:paraId="29307608" w14:textId="77777777" w:rsidR="008029C4" w:rsidRDefault="008029C4" w:rsidP="008029C4">
      <w:pPr>
        <w:pStyle w:val="StandardWeb"/>
        <w:spacing w:before="0" w:beforeAutospacing="0" w:after="0" w:afterAutospacing="0"/>
      </w:pPr>
      <w:r>
        <w:rPr>
          <w:rStyle w:val="Naglaeno"/>
        </w:rPr>
        <w:t>Cilj programa</w:t>
      </w:r>
      <w:r>
        <w:br/>
        <w:t>Cilj programa je osigurati adekvatnu socijalnu zaštitu i podršku osobama i obiteljima kojima je potrebna pomoć, te unaprijediti kvalitetu života ranjivih skupina.</w:t>
      </w:r>
    </w:p>
    <w:p w14:paraId="432CCF19" w14:textId="77777777" w:rsidR="008029C4" w:rsidRDefault="008029C4" w:rsidP="008029C4">
      <w:pPr>
        <w:pStyle w:val="StandardWeb"/>
        <w:spacing w:before="0" w:beforeAutospacing="0" w:after="0" w:afterAutospacing="0"/>
      </w:pPr>
      <w:r>
        <w:rPr>
          <w:rStyle w:val="Naglaeno"/>
        </w:rPr>
        <w:lastRenderedPageBreak/>
        <w:t>Ostvarenje ciljeva</w:t>
      </w:r>
      <w:r>
        <w:br/>
        <w:t>Provedbom programa osigurana je pravovremena i ciljano usmjerena pomoć građanima i kućanstvima kojima je potrebna podrška, čime je postignuta socijalna zaštita i ublaženi socio-ekonomski rizici.</w:t>
      </w:r>
    </w:p>
    <w:p w14:paraId="2911C2C8" w14:textId="77777777" w:rsidR="008029C4" w:rsidRDefault="008029C4" w:rsidP="008029C4">
      <w:pPr>
        <w:pStyle w:val="StandardWeb"/>
        <w:spacing w:before="0" w:beforeAutospacing="0" w:after="0" w:afterAutospacing="0"/>
      </w:pPr>
      <w:r>
        <w:rPr>
          <w:rStyle w:val="Naglaeno"/>
        </w:rPr>
        <w:t>Pokazatelji uspješnosti</w:t>
      </w:r>
    </w:p>
    <w:p w14:paraId="296A3E30" w14:textId="77777777" w:rsidR="008029C4" w:rsidRDefault="008029C4" w:rsidP="008029C4">
      <w:pPr>
        <w:pStyle w:val="StandardWeb"/>
        <w:numPr>
          <w:ilvl w:val="0"/>
          <w:numId w:val="25"/>
        </w:numPr>
        <w:spacing w:before="0" w:beforeAutospacing="0" w:after="0" w:afterAutospacing="0"/>
      </w:pPr>
      <w:r>
        <w:rPr>
          <w:rStyle w:val="Istaknuto"/>
        </w:rPr>
        <w:t>Pokazatelji učinka</w:t>
      </w:r>
      <w:r>
        <w:t>: pružena socijalna pomoć i podrška korisnicima</w:t>
      </w:r>
    </w:p>
    <w:p w14:paraId="6BE06E82" w14:textId="77777777" w:rsidR="008029C4" w:rsidRDefault="008029C4" w:rsidP="008029C4">
      <w:pPr>
        <w:pStyle w:val="StandardWeb"/>
        <w:numPr>
          <w:ilvl w:val="0"/>
          <w:numId w:val="25"/>
        </w:numPr>
        <w:spacing w:before="0" w:beforeAutospacing="0" w:after="0" w:afterAutospacing="0"/>
      </w:pPr>
      <w:r>
        <w:rPr>
          <w:rStyle w:val="Istaknuto"/>
        </w:rPr>
        <w:t>Pokazatelji rezultata</w:t>
      </w:r>
      <w:r>
        <w:t>: broj korisnika koji su primili pomoć u skladu s procjenom potreba</w:t>
      </w:r>
    </w:p>
    <w:p w14:paraId="1BFC5E79"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3BC11B81" w14:textId="77777777" w:rsidR="008029C4" w:rsidRDefault="008029C4" w:rsidP="008029C4">
      <w:pPr>
        <w:pStyle w:val="StandardWeb"/>
        <w:spacing w:before="0" w:beforeAutospacing="0" w:after="0" w:afterAutospacing="0"/>
        <w:jc w:val="both"/>
      </w:pPr>
      <w:r>
        <w:t>Ukupna realizacija Programa 1015 iznosi 87,24% u odnosu na planirana sredstva. Manja odstupanja od plana rezultat su dinamike raspodjele sredstava i potrebama korisnika tijekom godine.</w:t>
      </w:r>
    </w:p>
    <w:p w14:paraId="79651332" w14:textId="77777777" w:rsidR="008029C4" w:rsidRDefault="008029C4" w:rsidP="008029C4">
      <w:pPr>
        <w:pStyle w:val="StandardWeb"/>
        <w:spacing w:before="0" w:beforeAutospacing="0" w:after="0" w:afterAutospacing="0"/>
        <w:jc w:val="both"/>
      </w:pPr>
    </w:p>
    <w:p w14:paraId="7A48EBA4" w14:textId="77777777" w:rsidR="008029C4" w:rsidRPr="00A149CC" w:rsidRDefault="008029C4" w:rsidP="008029C4">
      <w:pPr>
        <w:pStyle w:val="StandardWeb"/>
        <w:spacing w:before="0" w:beforeAutospacing="0" w:after="0" w:afterAutospacing="0"/>
        <w:rPr>
          <w:u w:val="single"/>
        </w:rPr>
      </w:pPr>
      <w:r w:rsidRPr="00A149CC">
        <w:rPr>
          <w:rStyle w:val="Naglaeno"/>
          <w:u w:val="single"/>
        </w:rPr>
        <w:t>Program 1016 Zaštita, očuvanje i unapređenje zdravlja</w:t>
      </w:r>
    </w:p>
    <w:p w14:paraId="5A84F33B" w14:textId="77777777" w:rsidR="008029C4" w:rsidRDefault="008029C4" w:rsidP="008029C4">
      <w:pPr>
        <w:pStyle w:val="StandardWeb"/>
        <w:spacing w:before="0" w:beforeAutospacing="0" w:after="0" w:afterAutospacing="0"/>
      </w:pPr>
      <w:r>
        <w:t>Program 1016 Zaštita, očuvanje i unapređenje zdravlja usmjeren je na osiguranje dostupnosti zdravstvene skrbi, unapređenje primarne zdravstvene zaštite te razvoj zdravstvene infrastrukture na području općine.</w:t>
      </w:r>
    </w:p>
    <w:p w14:paraId="3973F3A1" w14:textId="77777777" w:rsidR="008029C4" w:rsidRDefault="008029C4" w:rsidP="008029C4">
      <w:pPr>
        <w:pStyle w:val="StandardWeb"/>
        <w:spacing w:before="0" w:beforeAutospacing="0" w:after="0" w:afterAutospacing="0"/>
      </w:pPr>
      <w:r>
        <w:t>U okviru programa planirani su i realizirani rashodi za:</w:t>
      </w:r>
    </w:p>
    <w:p w14:paraId="30562F1F" w14:textId="77777777" w:rsidR="008029C4" w:rsidRDefault="008029C4" w:rsidP="008029C4">
      <w:pPr>
        <w:pStyle w:val="StandardWeb"/>
        <w:numPr>
          <w:ilvl w:val="0"/>
          <w:numId w:val="26"/>
        </w:numPr>
        <w:spacing w:before="0" w:beforeAutospacing="0" w:after="0" w:afterAutospacing="0"/>
      </w:pPr>
      <w:r>
        <w:t>osiguranje mjera primarne i zdravstvene zaštite, uključujući naknade za doktoricu opće prakse i medicinskog brata</w:t>
      </w:r>
    </w:p>
    <w:p w14:paraId="755A849C" w14:textId="77777777" w:rsidR="008029C4" w:rsidRDefault="008029C4" w:rsidP="008029C4">
      <w:pPr>
        <w:pStyle w:val="StandardWeb"/>
        <w:numPr>
          <w:ilvl w:val="0"/>
          <w:numId w:val="26"/>
        </w:numPr>
        <w:spacing w:before="0" w:beforeAutospacing="0" w:after="0" w:afterAutospacing="0"/>
      </w:pPr>
      <w:r>
        <w:t>pokrivanje troškova vađenja krvi u Kotoribi</w:t>
      </w:r>
    </w:p>
    <w:p w14:paraId="2C9E5866" w14:textId="77777777" w:rsidR="008029C4" w:rsidRDefault="008029C4" w:rsidP="008029C4">
      <w:pPr>
        <w:pStyle w:val="StandardWeb"/>
        <w:numPr>
          <w:ilvl w:val="0"/>
          <w:numId w:val="26"/>
        </w:numPr>
        <w:spacing w:before="0" w:beforeAutospacing="0" w:after="0" w:afterAutospacing="0"/>
      </w:pPr>
      <w:r>
        <w:t>preseljenje ambulante u bivše prostorije Općine</w:t>
      </w:r>
    </w:p>
    <w:p w14:paraId="51B2011E" w14:textId="77777777" w:rsidR="008029C4" w:rsidRDefault="008029C4" w:rsidP="008029C4">
      <w:pPr>
        <w:pStyle w:val="StandardWeb"/>
        <w:numPr>
          <w:ilvl w:val="0"/>
          <w:numId w:val="26"/>
        </w:numPr>
        <w:spacing w:before="0" w:beforeAutospacing="0" w:after="0" w:afterAutospacing="0"/>
      </w:pPr>
      <w:r>
        <w:t>izradu projektno-tehničke dokumentacije za izgradnju nove ambulante</w:t>
      </w:r>
    </w:p>
    <w:p w14:paraId="34E1C15A" w14:textId="77777777" w:rsidR="008029C4" w:rsidRDefault="008029C4" w:rsidP="008029C4">
      <w:pPr>
        <w:pStyle w:val="StandardWeb"/>
        <w:spacing w:before="0" w:beforeAutospacing="0" w:after="0" w:afterAutospacing="0"/>
      </w:pPr>
      <w:r>
        <w:rPr>
          <w:rStyle w:val="Naglaeno"/>
        </w:rPr>
        <w:t>Cilj programa</w:t>
      </w:r>
      <w:r>
        <w:br/>
        <w:t>Cilj programa je osigurati kvalitetnu i dostupnu zdravstvenu zaštitu za stanovnike te unaprijediti infrastrukturu i uvjete rada zdravstvenih službi.</w:t>
      </w:r>
    </w:p>
    <w:p w14:paraId="53C37149" w14:textId="77777777" w:rsidR="008029C4" w:rsidRDefault="008029C4" w:rsidP="008029C4">
      <w:pPr>
        <w:pStyle w:val="StandardWeb"/>
        <w:spacing w:before="0" w:beforeAutospacing="0" w:after="0" w:afterAutospacing="0"/>
      </w:pPr>
      <w:r>
        <w:rPr>
          <w:rStyle w:val="Naglaeno"/>
        </w:rPr>
        <w:t>Ostvarenje ciljeva</w:t>
      </w:r>
      <w:r>
        <w:br/>
        <w:t>Provedbom programa osigurana je kontinuirana primarna zdravstvena zaštita, uključujući naknade za zdravstveno osoblje i pokriće troškova dijagnostike. Preseljenjem ambulante poboljšani su uvjeti rada i dostupnost usluga. Također je izrađena projektno-tehnička situacija za izgradnju nove ambulante, čime su stvoreni preduvjeti za daljnju modernizaciju zdravstvene infrastrukture.</w:t>
      </w:r>
    </w:p>
    <w:p w14:paraId="0BDDE453" w14:textId="77777777" w:rsidR="008029C4" w:rsidRDefault="008029C4" w:rsidP="008029C4">
      <w:pPr>
        <w:pStyle w:val="StandardWeb"/>
        <w:spacing w:before="0" w:beforeAutospacing="0" w:after="0" w:afterAutospacing="0"/>
      </w:pPr>
      <w:r>
        <w:rPr>
          <w:rStyle w:val="Naglaeno"/>
        </w:rPr>
        <w:t>Pokazatelji uspješnosti</w:t>
      </w:r>
    </w:p>
    <w:p w14:paraId="5A8CFFB8" w14:textId="77777777" w:rsidR="008029C4" w:rsidRDefault="008029C4" w:rsidP="008029C4">
      <w:pPr>
        <w:pStyle w:val="StandardWeb"/>
        <w:numPr>
          <w:ilvl w:val="0"/>
          <w:numId w:val="27"/>
        </w:numPr>
        <w:spacing w:before="0" w:beforeAutospacing="0" w:after="0" w:afterAutospacing="0"/>
      </w:pPr>
      <w:r>
        <w:rPr>
          <w:rStyle w:val="Istaknuto"/>
        </w:rPr>
        <w:t>Pokazatelji učinka</w:t>
      </w:r>
      <w:r>
        <w:t>: osigurana neprekidna primarna zdravstvena zaštita i poboljšani uvjeti rada ambulante</w:t>
      </w:r>
    </w:p>
    <w:p w14:paraId="6E3B1F31" w14:textId="77777777" w:rsidR="008029C4" w:rsidRDefault="008029C4" w:rsidP="008029C4">
      <w:pPr>
        <w:pStyle w:val="StandardWeb"/>
        <w:numPr>
          <w:ilvl w:val="0"/>
          <w:numId w:val="27"/>
        </w:numPr>
        <w:spacing w:before="0" w:beforeAutospacing="0" w:after="0" w:afterAutospacing="0"/>
      </w:pPr>
      <w:r>
        <w:rPr>
          <w:rStyle w:val="Istaknuto"/>
        </w:rPr>
        <w:t>Pokazatelji rezultata</w:t>
      </w:r>
      <w:r>
        <w:t>: plaćene naknade za zdravstveno osoblje, pokriveni troškovi usluga i izrađena projektna dokumentacija za izgradnju Doma zdravlja</w:t>
      </w:r>
    </w:p>
    <w:p w14:paraId="6D288379"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4648AFB8" w14:textId="77777777" w:rsidR="008029C4" w:rsidRDefault="008029C4" w:rsidP="008029C4">
      <w:pPr>
        <w:pStyle w:val="StandardWeb"/>
        <w:spacing w:before="0" w:beforeAutospacing="0" w:after="0" w:afterAutospacing="0"/>
        <w:jc w:val="both"/>
      </w:pPr>
      <w:r>
        <w:t>Ukupna realizacija Programa 1016 iznosi 104,47% u odnosu na planirana sredstva. Prekoračenje plana rezultat je dodatnih aktivnosti vezanih uz preseljenje ambulante i pokrivanje svih troškova zdravstvene zaštite tijekom godine.</w:t>
      </w:r>
    </w:p>
    <w:p w14:paraId="359E5329" w14:textId="77777777" w:rsidR="008029C4" w:rsidRDefault="008029C4" w:rsidP="008029C4">
      <w:pPr>
        <w:pStyle w:val="StandardWeb"/>
        <w:spacing w:before="0" w:beforeAutospacing="0" w:after="0" w:afterAutospacing="0"/>
        <w:jc w:val="both"/>
      </w:pPr>
    </w:p>
    <w:p w14:paraId="6D89FBEF" w14:textId="77777777" w:rsidR="008029C4" w:rsidRPr="00460F64" w:rsidRDefault="008029C4" w:rsidP="008029C4">
      <w:pPr>
        <w:pStyle w:val="StandardWeb"/>
        <w:spacing w:before="0" w:beforeAutospacing="0" w:after="0" w:afterAutospacing="0"/>
        <w:rPr>
          <w:u w:val="single"/>
        </w:rPr>
      </w:pPr>
      <w:r w:rsidRPr="00460F64">
        <w:rPr>
          <w:rStyle w:val="Naglaeno"/>
          <w:u w:val="single"/>
        </w:rPr>
        <w:t>Program 1017 Zaštita prava ranjivih skupina</w:t>
      </w:r>
    </w:p>
    <w:p w14:paraId="6192F4B6" w14:textId="77777777" w:rsidR="008029C4" w:rsidRDefault="008029C4" w:rsidP="008029C4">
      <w:pPr>
        <w:pStyle w:val="StandardWeb"/>
        <w:spacing w:before="0" w:beforeAutospacing="0" w:after="0" w:afterAutospacing="0"/>
      </w:pPr>
      <w:r>
        <w:t>Program 1017 Zaštita prava ranjivih skupina usmjeren je na poticanje socijalne uključenosti, očuvanje kulturnih prava nacionalnih manjina i podršku ranjivim skupinama na području općine.</w:t>
      </w:r>
    </w:p>
    <w:p w14:paraId="5DC2D1BE" w14:textId="77777777" w:rsidR="008029C4" w:rsidRDefault="008029C4" w:rsidP="008029C4">
      <w:pPr>
        <w:pStyle w:val="StandardWeb"/>
        <w:spacing w:before="0" w:beforeAutospacing="0" w:after="0" w:afterAutospacing="0"/>
      </w:pPr>
      <w:r>
        <w:lastRenderedPageBreak/>
        <w:t>U okviru programa planirani su i realizirani rashodi za:</w:t>
      </w:r>
    </w:p>
    <w:p w14:paraId="15F547E2" w14:textId="77777777" w:rsidR="008029C4" w:rsidRDefault="008029C4" w:rsidP="008029C4">
      <w:pPr>
        <w:pStyle w:val="StandardWeb"/>
        <w:numPr>
          <w:ilvl w:val="0"/>
          <w:numId w:val="28"/>
        </w:numPr>
        <w:spacing w:before="0" w:beforeAutospacing="0" w:after="0" w:afterAutospacing="0"/>
      </w:pPr>
      <w:r>
        <w:t>promociju kulturnih aktivnosti nacionalnih manjina</w:t>
      </w:r>
    </w:p>
    <w:p w14:paraId="7DD3651E" w14:textId="77777777" w:rsidR="008029C4" w:rsidRDefault="008029C4" w:rsidP="008029C4">
      <w:pPr>
        <w:pStyle w:val="StandardWeb"/>
        <w:numPr>
          <w:ilvl w:val="0"/>
          <w:numId w:val="28"/>
        </w:numPr>
        <w:spacing w:before="0" w:beforeAutospacing="0" w:after="0" w:afterAutospacing="0"/>
      </w:pPr>
      <w:r>
        <w:t>rad udruga, uključujući tekuće donacije udrugama</w:t>
      </w:r>
    </w:p>
    <w:p w14:paraId="31DB1CB2" w14:textId="77777777" w:rsidR="008029C4" w:rsidRDefault="008029C4" w:rsidP="008029C4">
      <w:pPr>
        <w:pStyle w:val="StandardWeb"/>
        <w:numPr>
          <w:ilvl w:val="0"/>
          <w:numId w:val="28"/>
        </w:numPr>
        <w:spacing w:before="0" w:beforeAutospacing="0" w:after="0" w:afterAutospacing="0"/>
      </w:pPr>
      <w:r>
        <w:t>podršku djelovanju Crvenog križa u skladu sa zakonskim obavezama</w:t>
      </w:r>
    </w:p>
    <w:p w14:paraId="3DE8A89D" w14:textId="77777777" w:rsidR="008029C4" w:rsidRDefault="008029C4" w:rsidP="008029C4">
      <w:pPr>
        <w:pStyle w:val="StandardWeb"/>
        <w:numPr>
          <w:ilvl w:val="0"/>
          <w:numId w:val="28"/>
        </w:numPr>
        <w:spacing w:before="0" w:beforeAutospacing="0" w:after="0" w:afterAutospacing="0"/>
      </w:pPr>
      <w:r>
        <w:t>predškolski odgoj, uključujući opremanje Dječjeg vrtića Klinčec i sufinanciranje općinskog dijela za pokrivanje troškova plaća odgojitelja te pokrivanje ostalih troškova</w:t>
      </w:r>
    </w:p>
    <w:p w14:paraId="2199619C" w14:textId="77777777" w:rsidR="008029C4" w:rsidRDefault="008029C4" w:rsidP="008029C4">
      <w:pPr>
        <w:pStyle w:val="StandardWeb"/>
        <w:spacing w:before="0" w:beforeAutospacing="0" w:after="0" w:afterAutospacing="0"/>
      </w:pPr>
      <w:r>
        <w:rPr>
          <w:rStyle w:val="Naglaeno"/>
        </w:rPr>
        <w:t>Cilj programa</w:t>
      </w:r>
      <w:r>
        <w:br/>
        <w:t>Cilj programa je osigurati prava i podršku ranjivim skupinama, unaprijediti dostupnost socijalnih i kulturnih sadržaja te poboljšati kvalitetu predškolskog odgoja.</w:t>
      </w:r>
    </w:p>
    <w:p w14:paraId="14425798" w14:textId="77777777" w:rsidR="008029C4" w:rsidRDefault="008029C4" w:rsidP="008029C4">
      <w:pPr>
        <w:pStyle w:val="StandardWeb"/>
        <w:spacing w:before="0" w:beforeAutospacing="0" w:after="0" w:afterAutospacing="0"/>
      </w:pPr>
      <w:r>
        <w:rPr>
          <w:rStyle w:val="Naglaeno"/>
        </w:rPr>
        <w:t>Ostvarenje ciljeva</w:t>
      </w:r>
      <w:r>
        <w:br/>
        <w:t>Provedbom programa osigurana je potpuna realizacija tekućih donacija udrugama, provedene su aktivnosti za promociju kulturnih prava nacionalnih manjina i podržano djelovanje Crvenog križa. U području predškolskog odgoja izvršeno je opremanje Dječjeg vrtića Klinčec i sufinanciran općinski dio, čime je poboljšana kvaliteta odgojno-obrazovnog procesa.</w:t>
      </w:r>
    </w:p>
    <w:p w14:paraId="5027255B" w14:textId="77777777" w:rsidR="008029C4" w:rsidRDefault="008029C4" w:rsidP="008029C4">
      <w:pPr>
        <w:pStyle w:val="StandardWeb"/>
        <w:spacing w:before="0" w:beforeAutospacing="0" w:after="0" w:afterAutospacing="0"/>
      </w:pPr>
      <w:r>
        <w:rPr>
          <w:rStyle w:val="Naglaeno"/>
        </w:rPr>
        <w:t>Pokazatelji uspješnosti</w:t>
      </w:r>
    </w:p>
    <w:p w14:paraId="08D0E44F" w14:textId="77777777" w:rsidR="008029C4" w:rsidRDefault="008029C4" w:rsidP="008029C4">
      <w:pPr>
        <w:pStyle w:val="StandardWeb"/>
        <w:numPr>
          <w:ilvl w:val="0"/>
          <w:numId w:val="29"/>
        </w:numPr>
        <w:spacing w:before="0" w:beforeAutospacing="0" w:after="0" w:afterAutospacing="0"/>
      </w:pPr>
      <w:r>
        <w:rPr>
          <w:rStyle w:val="Istaknuto"/>
        </w:rPr>
        <w:t>Pokazatelji učinka</w:t>
      </w:r>
      <w:r>
        <w:t>: unaprijeđena socijalna uključenost i kulturna participacija ranjivih skupina</w:t>
      </w:r>
    </w:p>
    <w:p w14:paraId="50D372C8" w14:textId="77777777" w:rsidR="008029C4" w:rsidRDefault="008029C4" w:rsidP="008029C4">
      <w:pPr>
        <w:pStyle w:val="StandardWeb"/>
        <w:numPr>
          <w:ilvl w:val="0"/>
          <w:numId w:val="29"/>
        </w:numPr>
        <w:spacing w:before="0" w:beforeAutospacing="0" w:after="0" w:afterAutospacing="0"/>
      </w:pPr>
      <w:r>
        <w:rPr>
          <w:rStyle w:val="Istaknuto"/>
        </w:rPr>
        <w:t>Pokazatelji rezultata</w:t>
      </w:r>
      <w:r>
        <w:t>: realizirane donacije i projektne aktivnosti udruga, opremljen Dječji vrtić Klinčec</w:t>
      </w:r>
    </w:p>
    <w:p w14:paraId="5AE73274"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72877723" w14:textId="77777777" w:rsidR="008029C4" w:rsidRDefault="008029C4" w:rsidP="008029C4">
      <w:pPr>
        <w:pStyle w:val="StandardWeb"/>
        <w:spacing w:before="0" w:beforeAutospacing="0" w:after="0" w:afterAutospacing="0"/>
        <w:jc w:val="both"/>
      </w:pPr>
      <w:r>
        <w:t>Ukupna realizacija Programa 1017 iznosi 99,75% u odnosu na planirana sredstva. Program je gotovo u potpunosti realiziran, a manja odstupanja od plana rezultat su dinamike izvršenja pojedinih aktivnosti.</w:t>
      </w:r>
    </w:p>
    <w:p w14:paraId="15E91840" w14:textId="77777777" w:rsidR="008029C4" w:rsidRDefault="008029C4" w:rsidP="008029C4">
      <w:pPr>
        <w:pStyle w:val="StandardWeb"/>
        <w:spacing w:before="0" w:beforeAutospacing="0" w:after="0" w:afterAutospacing="0"/>
        <w:jc w:val="both"/>
      </w:pPr>
    </w:p>
    <w:p w14:paraId="51F2623D" w14:textId="77777777" w:rsidR="008029C4" w:rsidRDefault="008029C4" w:rsidP="008029C4">
      <w:pPr>
        <w:pStyle w:val="StandardWeb"/>
        <w:spacing w:before="0" w:beforeAutospacing="0" w:after="0" w:afterAutospacing="0"/>
        <w:jc w:val="both"/>
        <w:rPr>
          <w:b/>
          <w:bCs/>
          <w:u w:val="single"/>
        </w:rPr>
      </w:pPr>
      <w:r w:rsidRPr="009923A9">
        <w:rPr>
          <w:b/>
          <w:bCs/>
          <w:u w:val="single"/>
        </w:rPr>
        <w:t>Program 1019 Osnovno i srednjoškolsko obrazovanje</w:t>
      </w:r>
    </w:p>
    <w:p w14:paraId="5AAFA6FC" w14:textId="77777777" w:rsidR="008029C4" w:rsidRDefault="008029C4" w:rsidP="008029C4">
      <w:pPr>
        <w:pStyle w:val="StandardWeb"/>
        <w:spacing w:before="0" w:beforeAutospacing="0" w:after="0" w:afterAutospacing="0"/>
      </w:pPr>
      <w:r>
        <w:t>Program 1019 Osnovno i srednjoškolsko obrazovanje usmjeren je na unapređenje obrazovnog sustava, podršku učenicima i studentima te osiguranje kvalitetnih uvjeta za učenje i razvoj na području općine.</w:t>
      </w:r>
    </w:p>
    <w:p w14:paraId="1FA5EFCF" w14:textId="77777777" w:rsidR="008029C4" w:rsidRDefault="008029C4" w:rsidP="008029C4">
      <w:pPr>
        <w:pStyle w:val="StandardWeb"/>
        <w:spacing w:before="0" w:beforeAutospacing="0" w:after="0" w:afterAutospacing="0"/>
      </w:pPr>
      <w:r>
        <w:t>U okviru programa planirani su i realizirani rashodi za:</w:t>
      </w:r>
    </w:p>
    <w:p w14:paraId="3BED9F02" w14:textId="77777777" w:rsidR="008029C4" w:rsidRDefault="008029C4" w:rsidP="008029C4">
      <w:pPr>
        <w:pStyle w:val="StandardWeb"/>
        <w:numPr>
          <w:ilvl w:val="0"/>
          <w:numId w:val="30"/>
        </w:numPr>
        <w:spacing w:before="0" w:beforeAutospacing="0" w:after="0" w:afterAutospacing="0"/>
      </w:pPr>
      <w:r>
        <w:rPr>
          <w:rStyle w:val="Naglaeno"/>
        </w:rPr>
        <w:t>Osnovno obrazovanje</w:t>
      </w:r>
      <w:r>
        <w:t>: pokrivanje troškova nastavnika za produženi boravak u OŠ Donja Dubrava, pokrivanje troškova korištenja školske sportske dvorane za udruge, lakiranje parketa u dijelu učionica</w:t>
      </w:r>
    </w:p>
    <w:p w14:paraId="25F9DC28" w14:textId="77777777" w:rsidR="008029C4" w:rsidRDefault="008029C4" w:rsidP="008029C4">
      <w:pPr>
        <w:pStyle w:val="StandardWeb"/>
        <w:numPr>
          <w:ilvl w:val="0"/>
          <w:numId w:val="30"/>
        </w:numPr>
        <w:spacing w:before="0" w:beforeAutospacing="0" w:after="0" w:afterAutospacing="0"/>
      </w:pPr>
      <w:r>
        <w:rPr>
          <w:rStyle w:val="Naglaeno"/>
          <w:rFonts w:eastAsiaTheme="majorEastAsia"/>
        </w:rPr>
        <w:t>Srednjoškolsko</w:t>
      </w:r>
      <w:r>
        <w:rPr>
          <w:rStyle w:val="Naglaeno"/>
        </w:rPr>
        <w:t xml:space="preserve"> obrazovanje</w:t>
      </w:r>
      <w:r>
        <w:t>: isplata jednokratne financijske pomoći učenicima</w:t>
      </w:r>
    </w:p>
    <w:p w14:paraId="7D7FA87E" w14:textId="77777777" w:rsidR="008029C4" w:rsidRDefault="008029C4" w:rsidP="008029C4">
      <w:pPr>
        <w:pStyle w:val="StandardWeb"/>
        <w:numPr>
          <w:ilvl w:val="0"/>
          <w:numId w:val="30"/>
        </w:numPr>
        <w:spacing w:before="0" w:beforeAutospacing="0" w:after="0" w:afterAutospacing="0"/>
      </w:pPr>
      <w:r>
        <w:rPr>
          <w:rStyle w:val="Naglaeno"/>
        </w:rPr>
        <w:t>Visoko obrazovanje</w:t>
      </w:r>
      <w:r>
        <w:t>: mjesečna stipendija za redovne studente s područja općine Donja Dubrava</w:t>
      </w:r>
    </w:p>
    <w:p w14:paraId="256FF24B" w14:textId="77777777" w:rsidR="008029C4" w:rsidRDefault="008029C4" w:rsidP="008029C4">
      <w:pPr>
        <w:pStyle w:val="StandardWeb"/>
        <w:spacing w:before="0" w:beforeAutospacing="0" w:after="0" w:afterAutospacing="0"/>
      </w:pPr>
      <w:r>
        <w:rPr>
          <w:rStyle w:val="Naglaeno"/>
        </w:rPr>
        <w:t>Cilj programa</w:t>
      </w:r>
      <w:r>
        <w:br/>
        <w:t>Cilj programa je osigurati kvalitetno obrazovanje, podržati učenike i studente te unaprijediti uvjete u školskim i obrazovnim prostorima.</w:t>
      </w:r>
    </w:p>
    <w:p w14:paraId="52AEFF49" w14:textId="77777777" w:rsidR="008029C4" w:rsidRDefault="008029C4" w:rsidP="008029C4">
      <w:pPr>
        <w:pStyle w:val="StandardWeb"/>
        <w:spacing w:before="0" w:beforeAutospacing="0" w:after="0" w:afterAutospacing="0"/>
      </w:pPr>
      <w:r>
        <w:rPr>
          <w:rStyle w:val="Naglaeno"/>
        </w:rPr>
        <w:t>Ostvarenje ciljeva</w:t>
      </w:r>
      <w:r>
        <w:br/>
        <w:t>Provedbom programa osigurano je kontinuirano financiranje dodatnih obrazovnih aktivnosti u osnovnoj školi, podržana su srednjoškolska i visokoobrazovna ulaganja kroz financijsku pomoć i stipendije, te poboljšani uvjeti u školskim prostorima kroz lakiranje parketa i održavanje sportskih dvorana.</w:t>
      </w:r>
    </w:p>
    <w:p w14:paraId="1E847DC5" w14:textId="77777777" w:rsidR="008029C4" w:rsidRDefault="008029C4" w:rsidP="008029C4">
      <w:pPr>
        <w:pStyle w:val="StandardWeb"/>
        <w:spacing w:before="0" w:beforeAutospacing="0" w:after="0" w:afterAutospacing="0"/>
      </w:pPr>
      <w:r>
        <w:rPr>
          <w:rStyle w:val="Naglaeno"/>
        </w:rPr>
        <w:t>Pokazatelji uspješnosti</w:t>
      </w:r>
    </w:p>
    <w:p w14:paraId="5BD9B7C5" w14:textId="77777777" w:rsidR="008029C4" w:rsidRDefault="008029C4" w:rsidP="008029C4">
      <w:pPr>
        <w:pStyle w:val="StandardWeb"/>
        <w:numPr>
          <w:ilvl w:val="0"/>
          <w:numId w:val="31"/>
        </w:numPr>
        <w:spacing w:before="0" w:beforeAutospacing="0" w:after="0" w:afterAutospacing="0"/>
      </w:pPr>
      <w:r>
        <w:rPr>
          <w:rStyle w:val="Istaknuto"/>
        </w:rPr>
        <w:lastRenderedPageBreak/>
        <w:t>Pokazatelji učinka</w:t>
      </w:r>
      <w:r>
        <w:t>: poboljšani uvjeti rada i učenja u školama, dostupna financijska pomoć učenicima i studentima</w:t>
      </w:r>
    </w:p>
    <w:p w14:paraId="4A6BEC2A" w14:textId="77777777" w:rsidR="008029C4" w:rsidRDefault="008029C4" w:rsidP="008029C4">
      <w:pPr>
        <w:pStyle w:val="StandardWeb"/>
        <w:numPr>
          <w:ilvl w:val="0"/>
          <w:numId w:val="31"/>
        </w:numPr>
        <w:spacing w:before="0" w:beforeAutospacing="0" w:after="0" w:afterAutospacing="0"/>
      </w:pPr>
      <w:r>
        <w:rPr>
          <w:rStyle w:val="Istaknuto"/>
        </w:rPr>
        <w:t>Pokazatelji rezultata</w:t>
      </w:r>
      <w:r>
        <w:t>: realizirane jednokratne pomoći i stipendije, unaprijeđeni školski prostori i sportska infrastruktura</w:t>
      </w:r>
    </w:p>
    <w:p w14:paraId="294FDACE" w14:textId="77777777" w:rsidR="008029C4" w:rsidRDefault="008029C4" w:rsidP="008029C4">
      <w:pPr>
        <w:pStyle w:val="StandardWeb"/>
        <w:spacing w:before="0" w:beforeAutospacing="0" w:after="0" w:afterAutospacing="0"/>
        <w:rPr>
          <w:rStyle w:val="Naglaeno"/>
          <w:rFonts w:eastAsiaTheme="majorEastAsia"/>
        </w:rPr>
      </w:pPr>
      <w:r>
        <w:rPr>
          <w:rStyle w:val="Naglaeno"/>
        </w:rPr>
        <w:t>Izvršenje programa</w:t>
      </w:r>
    </w:p>
    <w:p w14:paraId="7789D89D" w14:textId="77777777" w:rsidR="008029C4" w:rsidRDefault="008029C4" w:rsidP="008029C4">
      <w:pPr>
        <w:pStyle w:val="StandardWeb"/>
        <w:spacing w:before="0" w:beforeAutospacing="0" w:after="0" w:afterAutospacing="0"/>
        <w:jc w:val="both"/>
      </w:pPr>
      <w:r>
        <w:t>Ukupna realizacija Programa 1019 iznosi 107,42% u odnosu na planirana sredstva. Prekoračenje plana rezultat je dodatnih troškova vezanih uz financiranje nastavnika, korištenje školskih prostora i stipendija tijekom godine.</w:t>
      </w:r>
    </w:p>
    <w:p w14:paraId="2A540640" w14:textId="77777777" w:rsidR="008029C4" w:rsidRDefault="008029C4" w:rsidP="008029C4">
      <w:pPr>
        <w:pStyle w:val="StandardWeb"/>
        <w:spacing w:before="0" w:beforeAutospacing="0" w:after="0" w:afterAutospacing="0"/>
        <w:jc w:val="both"/>
      </w:pPr>
    </w:p>
    <w:p w14:paraId="7E47FFAF" w14:textId="77777777" w:rsidR="008029C4" w:rsidRPr="003B1563" w:rsidRDefault="008029C4" w:rsidP="008029C4">
      <w:pPr>
        <w:pStyle w:val="StandardWeb"/>
        <w:spacing w:before="0" w:beforeAutospacing="0" w:after="0" w:afterAutospacing="0"/>
        <w:rPr>
          <w:u w:val="single"/>
        </w:rPr>
      </w:pPr>
      <w:r w:rsidRPr="003B1563">
        <w:rPr>
          <w:rStyle w:val="Naglaeno"/>
          <w:u w:val="single"/>
        </w:rPr>
        <w:t xml:space="preserve">Program 1023 Poticanje </w:t>
      </w:r>
      <w:r w:rsidRPr="003B1563">
        <w:rPr>
          <w:rStyle w:val="Naglaeno"/>
          <w:rFonts w:eastAsiaTheme="majorEastAsia"/>
          <w:u w:val="single"/>
        </w:rPr>
        <w:t>eko proizvodnje</w:t>
      </w:r>
      <w:r w:rsidRPr="003B1563">
        <w:rPr>
          <w:rStyle w:val="Naglaeno"/>
          <w:u w:val="single"/>
        </w:rPr>
        <w:t xml:space="preserve"> i održive poljoprivrede</w:t>
      </w:r>
    </w:p>
    <w:p w14:paraId="2B28D822" w14:textId="77777777" w:rsidR="008029C4" w:rsidRDefault="008029C4" w:rsidP="008029C4">
      <w:pPr>
        <w:pStyle w:val="StandardWeb"/>
        <w:spacing w:before="0" w:beforeAutospacing="0" w:after="0" w:afterAutospacing="0"/>
      </w:pPr>
      <w:r>
        <w:t>Program 1023 Poticanje eko proizvodnje i održive poljoprivrede usmjeren je na razvoj održivih poljoprivrednih praksi, promociju lokalnih eko proizvoda i očuvanje poljoprivredne tradicije na području općine.</w:t>
      </w:r>
    </w:p>
    <w:p w14:paraId="58F8580F" w14:textId="77777777" w:rsidR="008029C4" w:rsidRDefault="008029C4" w:rsidP="008029C4">
      <w:pPr>
        <w:pStyle w:val="StandardWeb"/>
        <w:spacing w:before="0" w:beforeAutospacing="0" w:after="0" w:afterAutospacing="0"/>
      </w:pPr>
      <w:r>
        <w:t>U okviru programa planirani su i realizirani rashodi za:</w:t>
      </w:r>
    </w:p>
    <w:p w14:paraId="4A570AC5" w14:textId="77777777" w:rsidR="008029C4" w:rsidRDefault="008029C4" w:rsidP="008029C4">
      <w:pPr>
        <w:pStyle w:val="StandardWeb"/>
        <w:numPr>
          <w:ilvl w:val="0"/>
          <w:numId w:val="32"/>
        </w:numPr>
        <w:spacing w:before="0" w:beforeAutospacing="0" w:after="0" w:afterAutospacing="0"/>
      </w:pPr>
      <w:r>
        <w:t>poticanje proizvodnje Dobravskog ljuka kroz dodjelu poticaja proizvođačima</w:t>
      </w:r>
    </w:p>
    <w:p w14:paraId="084500CF" w14:textId="77777777" w:rsidR="008029C4" w:rsidRDefault="008029C4" w:rsidP="008029C4">
      <w:pPr>
        <w:pStyle w:val="StandardWeb"/>
        <w:numPr>
          <w:ilvl w:val="0"/>
          <w:numId w:val="32"/>
        </w:numPr>
        <w:spacing w:before="0" w:beforeAutospacing="0" w:after="0" w:afterAutospacing="0"/>
      </w:pPr>
      <w:r>
        <w:t>organizaciju manifestacije „Dani ljuka“</w:t>
      </w:r>
    </w:p>
    <w:p w14:paraId="5A3CC57D" w14:textId="77777777" w:rsidR="008029C4" w:rsidRDefault="008029C4" w:rsidP="008029C4">
      <w:pPr>
        <w:pStyle w:val="StandardWeb"/>
        <w:numPr>
          <w:ilvl w:val="0"/>
          <w:numId w:val="32"/>
        </w:numPr>
        <w:spacing w:before="0" w:beforeAutospacing="0" w:after="0" w:afterAutospacing="0"/>
      </w:pPr>
      <w:r>
        <w:t>očuvanje pčelinjeg fonda, uključujući subvencije poljoprivrednicima</w:t>
      </w:r>
    </w:p>
    <w:p w14:paraId="68712067" w14:textId="77777777" w:rsidR="008029C4" w:rsidRDefault="008029C4" w:rsidP="008029C4">
      <w:pPr>
        <w:pStyle w:val="StandardWeb"/>
        <w:numPr>
          <w:ilvl w:val="0"/>
          <w:numId w:val="32"/>
        </w:numPr>
        <w:spacing w:before="0" w:beforeAutospacing="0" w:after="0" w:afterAutospacing="0"/>
      </w:pPr>
      <w:r>
        <w:t>ulaganja u poljske puteve</w:t>
      </w:r>
    </w:p>
    <w:p w14:paraId="56F50102" w14:textId="77777777" w:rsidR="008029C4" w:rsidRDefault="008029C4" w:rsidP="008029C4">
      <w:pPr>
        <w:pStyle w:val="StandardWeb"/>
        <w:numPr>
          <w:ilvl w:val="0"/>
          <w:numId w:val="32"/>
        </w:numPr>
        <w:spacing w:before="0" w:beforeAutospacing="0" w:after="0" w:afterAutospacing="0"/>
      </w:pPr>
      <w:r>
        <w:t>zaštitu usjeva</w:t>
      </w:r>
    </w:p>
    <w:p w14:paraId="103491A8" w14:textId="77777777" w:rsidR="008029C4" w:rsidRDefault="008029C4" w:rsidP="008029C4">
      <w:pPr>
        <w:pStyle w:val="StandardWeb"/>
        <w:spacing w:before="0" w:beforeAutospacing="0" w:after="0" w:afterAutospacing="0"/>
      </w:pPr>
      <w:r>
        <w:rPr>
          <w:rStyle w:val="Naglaeno"/>
        </w:rPr>
        <w:t>Cilj programa</w:t>
      </w:r>
      <w:r>
        <w:br/>
        <w:t>Cilj programa je potaknuti ekološku i održivu poljoprivredu, podržati lokalne proizvođače, unaprijediti poljoprivrednu infrastrukturu i očuvati prirodne resurse.</w:t>
      </w:r>
    </w:p>
    <w:p w14:paraId="4BC48B09" w14:textId="77777777" w:rsidR="008029C4" w:rsidRDefault="008029C4" w:rsidP="008029C4">
      <w:pPr>
        <w:pStyle w:val="StandardWeb"/>
        <w:spacing w:before="0" w:beforeAutospacing="0" w:after="0" w:afterAutospacing="0"/>
      </w:pPr>
      <w:r>
        <w:rPr>
          <w:rStyle w:val="Naglaeno"/>
        </w:rPr>
        <w:t>Ostvarenje ciljeva</w:t>
      </w:r>
      <w:r>
        <w:br/>
        <w:t>Provedbom programa osigurani su poticaji proizvođačima Dobravskog ljuka, održana je manifestacija „Dani ljuka“, provedene su subvencije za očuvanje pčelinjeg fonda, izvršena su ulaganja u poljske puteve i poduzete aktivnosti zaštite usjeva. Time su unaprijeđeni uvjeti za poljoprivredu, podržana održiva proizvodnja i očuvana ekološka ravnoteža.</w:t>
      </w:r>
    </w:p>
    <w:p w14:paraId="4E16AA2A" w14:textId="77777777" w:rsidR="008029C4" w:rsidRDefault="008029C4" w:rsidP="008029C4">
      <w:pPr>
        <w:pStyle w:val="StandardWeb"/>
        <w:spacing w:before="0" w:beforeAutospacing="0" w:after="0" w:afterAutospacing="0"/>
      </w:pPr>
      <w:r>
        <w:rPr>
          <w:rStyle w:val="Naglaeno"/>
        </w:rPr>
        <w:t>Pokazatelji uspješnosti</w:t>
      </w:r>
    </w:p>
    <w:p w14:paraId="568AFB8D" w14:textId="77777777" w:rsidR="008029C4" w:rsidRDefault="008029C4" w:rsidP="008029C4">
      <w:pPr>
        <w:pStyle w:val="StandardWeb"/>
        <w:numPr>
          <w:ilvl w:val="0"/>
          <w:numId w:val="33"/>
        </w:numPr>
        <w:spacing w:before="0" w:beforeAutospacing="0" w:after="0" w:afterAutospacing="0"/>
      </w:pPr>
      <w:r>
        <w:rPr>
          <w:rStyle w:val="Istaknuto"/>
        </w:rPr>
        <w:t>Pokazatelji učinka</w:t>
      </w:r>
      <w:r>
        <w:t>: povećana proizvodnja Dobravskog ljuka, očuvanje pčelinjih zajednica, održana manifestacija, poboljšana pristupačnost poljoprivrednih površina i zaštita usjeva</w:t>
      </w:r>
    </w:p>
    <w:p w14:paraId="2CE13873" w14:textId="77777777" w:rsidR="008029C4" w:rsidRDefault="008029C4" w:rsidP="008029C4">
      <w:pPr>
        <w:pStyle w:val="StandardWeb"/>
        <w:numPr>
          <w:ilvl w:val="0"/>
          <w:numId w:val="33"/>
        </w:numPr>
        <w:spacing w:before="0" w:beforeAutospacing="0" w:after="0" w:afterAutospacing="0"/>
      </w:pPr>
      <w:r>
        <w:rPr>
          <w:rStyle w:val="Istaknuto"/>
        </w:rPr>
        <w:t>Pokazatelji rezultata</w:t>
      </w:r>
      <w:r>
        <w:t>: dodijeljeni poticaji i subvencije, provedena manifestacija „Dani ljuka“, izvedena ulaganja u poljske puteve i zaštita usjeva</w:t>
      </w:r>
    </w:p>
    <w:p w14:paraId="573F60A7" w14:textId="77777777" w:rsidR="008029C4" w:rsidRDefault="008029C4" w:rsidP="008029C4">
      <w:pPr>
        <w:pStyle w:val="StandardWeb"/>
        <w:spacing w:before="0" w:beforeAutospacing="0" w:after="0" w:afterAutospacing="0"/>
      </w:pPr>
      <w:r>
        <w:rPr>
          <w:rStyle w:val="Naglaeno"/>
        </w:rPr>
        <w:t>Izvršenje programa</w:t>
      </w:r>
      <w:r>
        <w:br/>
        <w:t>Ukupna realizacija Programa 1023 iznosi 94,38% u odnosu na planirana sredstva. Odstupanje od plana rezultat je dinamike provedbe aktivnosti, raspodjele poticaja i izvedbe infrastrukturnih ulaganja tijekom godine.</w:t>
      </w:r>
    </w:p>
    <w:p w14:paraId="356BCE72" w14:textId="77777777" w:rsidR="008029C4" w:rsidRDefault="008029C4" w:rsidP="008029C4">
      <w:pPr>
        <w:pStyle w:val="Uvuenotijeloteksta"/>
        <w:rPr>
          <w:bCs w:val="0"/>
          <w:i w:val="0"/>
          <w:szCs w:val="24"/>
          <w:lang w:val="pl-PL"/>
        </w:rPr>
      </w:pPr>
    </w:p>
    <w:p w14:paraId="207A0522" w14:textId="77777777" w:rsidR="00AF6427" w:rsidRPr="004E54E9" w:rsidRDefault="00AF6427" w:rsidP="008029C4">
      <w:pPr>
        <w:pStyle w:val="Uvuenotijeloteksta"/>
        <w:rPr>
          <w:bCs w:val="0"/>
          <w:i w:val="0"/>
          <w:szCs w:val="24"/>
          <w:lang w:val="pl-PL"/>
        </w:rPr>
      </w:pPr>
    </w:p>
    <w:p w14:paraId="445A6720" w14:textId="77777777" w:rsidR="00AF6427" w:rsidRPr="000E79B8" w:rsidRDefault="00AF6427" w:rsidP="00AF6427">
      <w:pPr>
        <w:numPr>
          <w:ilvl w:val="0"/>
          <w:numId w:val="2"/>
        </w:numPr>
        <w:jc w:val="both"/>
        <w:rPr>
          <w:b/>
          <w:szCs w:val="24"/>
          <w:lang w:val="hr-HR"/>
        </w:rPr>
      </w:pPr>
      <w:r w:rsidRPr="000E79B8">
        <w:rPr>
          <w:b/>
          <w:szCs w:val="24"/>
          <w:lang w:val="hr-HR"/>
        </w:rPr>
        <w:t>IZVJEŠTAJ O KORIŠTENJU PRORAČUNSKE ZALIHE</w:t>
      </w:r>
    </w:p>
    <w:p w14:paraId="5B331615" w14:textId="77777777" w:rsidR="00AF6427" w:rsidRPr="000E79B8" w:rsidRDefault="00AF6427" w:rsidP="00AF6427">
      <w:pPr>
        <w:ind w:left="675"/>
        <w:jc w:val="both"/>
        <w:rPr>
          <w:bCs/>
          <w:szCs w:val="24"/>
          <w:lang w:val="hr-HR"/>
        </w:rPr>
      </w:pPr>
      <w:r w:rsidRPr="000E79B8">
        <w:rPr>
          <w:bCs/>
          <w:szCs w:val="24"/>
          <w:lang w:val="hr-HR"/>
        </w:rPr>
        <w:t>Tijekom izvještajnog razdoblja Općina nije koristila proračunsku zalihu.</w:t>
      </w:r>
    </w:p>
    <w:p w14:paraId="5CF8E1E4" w14:textId="77777777" w:rsidR="00DB6FD1" w:rsidRDefault="00DB6FD1" w:rsidP="008029C4">
      <w:pPr>
        <w:jc w:val="both"/>
        <w:rPr>
          <w:bCs/>
          <w:szCs w:val="24"/>
          <w:lang w:val="hr-HR"/>
        </w:rPr>
      </w:pPr>
    </w:p>
    <w:p w14:paraId="0423B987" w14:textId="77777777" w:rsidR="00AF6427" w:rsidRPr="004A0AD3" w:rsidRDefault="00AF6427" w:rsidP="008029C4">
      <w:pPr>
        <w:jc w:val="both"/>
        <w:rPr>
          <w:bCs/>
          <w:szCs w:val="24"/>
          <w:lang w:val="hr-HR"/>
        </w:rPr>
      </w:pPr>
    </w:p>
    <w:p w14:paraId="130ACB42" w14:textId="77777777" w:rsidR="00EE3F23" w:rsidRPr="000E79B8" w:rsidRDefault="00EE3F23" w:rsidP="00AF6427">
      <w:pPr>
        <w:numPr>
          <w:ilvl w:val="0"/>
          <w:numId w:val="2"/>
        </w:numPr>
        <w:contextualSpacing/>
        <w:jc w:val="both"/>
        <w:rPr>
          <w:b/>
          <w:szCs w:val="24"/>
          <w:lang w:val="hr-HR"/>
        </w:rPr>
      </w:pPr>
      <w:r w:rsidRPr="000E79B8">
        <w:rPr>
          <w:b/>
          <w:szCs w:val="24"/>
          <w:lang w:val="hr-HR"/>
        </w:rPr>
        <w:lastRenderedPageBreak/>
        <w:t xml:space="preserve">IZVJEŠTAJ O ZADUŽIVANJU </w:t>
      </w:r>
    </w:p>
    <w:p w14:paraId="304E7833" w14:textId="2F500832" w:rsidR="00EE3F23" w:rsidRPr="007B3024" w:rsidRDefault="00D9238C" w:rsidP="008029C4">
      <w:pPr>
        <w:ind w:left="675"/>
        <w:jc w:val="both"/>
        <w:rPr>
          <w:bCs/>
          <w:color w:val="000000" w:themeColor="text1"/>
          <w:szCs w:val="24"/>
          <w:lang w:val="hr-HR"/>
        </w:rPr>
      </w:pPr>
      <w:r w:rsidRPr="000E79B8">
        <w:rPr>
          <w:bCs/>
          <w:szCs w:val="24"/>
          <w:lang w:val="hr-HR"/>
        </w:rPr>
        <w:t>Tijekom izvještajnog razdoblja Opći</w:t>
      </w:r>
      <w:r w:rsidR="005C49AD" w:rsidRPr="000E79B8">
        <w:rPr>
          <w:bCs/>
          <w:szCs w:val="24"/>
          <w:lang w:val="hr-HR"/>
        </w:rPr>
        <w:t>na se nije zaduživala. Zaduženje</w:t>
      </w:r>
      <w:r w:rsidR="007E0853" w:rsidRPr="000E79B8">
        <w:rPr>
          <w:bCs/>
          <w:szCs w:val="24"/>
          <w:lang w:val="hr-HR"/>
        </w:rPr>
        <w:t xml:space="preserve"> je</w:t>
      </w:r>
      <w:r w:rsidR="005C49AD" w:rsidRPr="000E79B8">
        <w:rPr>
          <w:bCs/>
          <w:szCs w:val="24"/>
          <w:lang w:val="hr-HR"/>
        </w:rPr>
        <w:t xml:space="preserve"> bilo u 2022. godini, a prva</w:t>
      </w:r>
      <w:r w:rsidRPr="000E79B8">
        <w:rPr>
          <w:bCs/>
          <w:szCs w:val="24"/>
          <w:lang w:val="hr-HR"/>
        </w:rPr>
        <w:t xml:space="preserve"> rata dospjela je na naplatu 31.01.2023. godine. </w:t>
      </w:r>
      <w:r w:rsidRPr="007B3024">
        <w:rPr>
          <w:bCs/>
          <w:color w:val="000000" w:themeColor="text1"/>
          <w:szCs w:val="24"/>
          <w:lang w:val="hr-HR"/>
        </w:rPr>
        <w:t>U 202</w:t>
      </w:r>
      <w:r w:rsidR="00823F45" w:rsidRPr="007B3024">
        <w:rPr>
          <w:bCs/>
          <w:color w:val="000000" w:themeColor="text1"/>
          <w:szCs w:val="24"/>
          <w:lang w:val="hr-HR"/>
        </w:rPr>
        <w:t>5</w:t>
      </w:r>
      <w:r w:rsidRPr="007B3024">
        <w:rPr>
          <w:bCs/>
          <w:color w:val="000000" w:themeColor="text1"/>
          <w:szCs w:val="24"/>
          <w:lang w:val="hr-HR"/>
        </w:rPr>
        <w:t xml:space="preserve">. godini ukupno je otplaćeno </w:t>
      </w:r>
      <w:r w:rsidR="00845E99" w:rsidRPr="007B3024">
        <w:rPr>
          <w:bCs/>
          <w:color w:val="000000" w:themeColor="text1"/>
          <w:szCs w:val="24"/>
          <w:lang w:val="hr-HR"/>
        </w:rPr>
        <w:t>50.434,56</w:t>
      </w:r>
      <w:r w:rsidRPr="007B3024">
        <w:rPr>
          <w:bCs/>
          <w:color w:val="000000" w:themeColor="text1"/>
          <w:szCs w:val="24"/>
          <w:lang w:val="hr-HR"/>
        </w:rPr>
        <w:t xml:space="preserve"> € kredita.</w:t>
      </w:r>
    </w:p>
    <w:p w14:paraId="69913127" w14:textId="77777777" w:rsidR="00AF6427" w:rsidRPr="007B3024" w:rsidRDefault="00AF6427" w:rsidP="00AF6427">
      <w:pPr>
        <w:jc w:val="both"/>
        <w:rPr>
          <w:bCs/>
          <w:color w:val="000000" w:themeColor="text1"/>
          <w:szCs w:val="24"/>
          <w:lang w:val="hr-HR"/>
        </w:rPr>
      </w:pPr>
    </w:p>
    <w:p w14:paraId="2DF74092" w14:textId="231738D4" w:rsidR="00AF6427" w:rsidRPr="007B3024" w:rsidRDefault="00AF6427" w:rsidP="00AF6427">
      <w:pPr>
        <w:numPr>
          <w:ilvl w:val="0"/>
          <w:numId w:val="2"/>
        </w:numPr>
        <w:jc w:val="both"/>
        <w:rPr>
          <w:b/>
          <w:color w:val="000000" w:themeColor="text1"/>
          <w:szCs w:val="24"/>
          <w:lang w:val="hr-HR"/>
        </w:rPr>
      </w:pPr>
      <w:r w:rsidRPr="007B3024">
        <w:rPr>
          <w:b/>
          <w:color w:val="000000" w:themeColor="text1"/>
          <w:szCs w:val="24"/>
          <w:lang w:val="hr-HR"/>
        </w:rPr>
        <w:t>IZVJEŠTAJ O DANIM JAMSTVIMA I PLAĆAN</w:t>
      </w:r>
      <w:r w:rsidR="009F21D2" w:rsidRPr="007B3024">
        <w:rPr>
          <w:b/>
          <w:color w:val="000000" w:themeColor="text1"/>
          <w:szCs w:val="24"/>
          <w:lang w:val="hr-HR"/>
        </w:rPr>
        <w:t>JI</w:t>
      </w:r>
      <w:r w:rsidRPr="007B3024">
        <w:rPr>
          <w:b/>
          <w:color w:val="000000" w:themeColor="text1"/>
          <w:szCs w:val="24"/>
          <w:lang w:val="hr-HR"/>
        </w:rPr>
        <w:t>MA PO PROTESTIRANIM JAMSTVIMA</w:t>
      </w:r>
    </w:p>
    <w:p w14:paraId="171B2FE6" w14:textId="77777777" w:rsidR="00824C29" w:rsidRPr="007B3024" w:rsidRDefault="00824C29" w:rsidP="00824C29">
      <w:pPr>
        <w:ind w:left="675"/>
        <w:jc w:val="both"/>
        <w:rPr>
          <w:bCs/>
          <w:color w:val="000000" w:themeColor="text1"/>
          <w:szCs w:val="24"/>
          <w:lang w:val="hr-HR"/>
        </w:rPr>
      </w:pPr>
      <w:r w:rsidRPr="007B3024">
        <w:rPr>
          <w:bCs/>
          <w:color w:val="000000" w:themeColor="text1"/>
          <w:szCs w:val="24"/>
          <w:lang w:val="hr-HR"/>
        </w:rPr>
        <w:t>Općina Donja Dubrava je tijekom 2025. godine izdala dva jamstva (zadužnice) kao instrumente osiguranja urednog izvršenja ugovornih obveza.</w:t>
      </w:r>
    </w:p>
    <w:p w14:paraId="09095137" w14:textId="77777777" w:rsidR="00824C29" w:rsidRPr="007B3024" w:rsidRDefault="00824C29" w:rsidP="00824C29">
      <w:pPr>
        <w:ind w:left="675"/>
        <w:jc w:val="both"/>
        <w:rPr>
          <w:bCs/>
          <w:color w:val="000000" w:themeColor="text1"/>
          <w:szCs w:val="24"/>
          <w:lang w:val="hr-HR"/>
        </w:rPr>
      </w:pPr>
    </w:p>
    <w:p w14:paraId="457D6978" w14:textId="77777777" w:rsidR="00824C29" w:rsidRPr="007B3024" w:rsidRDefault="00824C29" w:rsidP="00824C29">
      <w:pPr>
        <w:ind w:left="675"/>
        <w:jc w:val="both"/>
        <w:rPr>
          <w:bCs/>
          <w:color w:val="000000" w:themeColor="text1"/>
          <w:szCs w:val="24"/>
          <w:lang w:val="hr-HR"/>
        </w:rPr>
      </w:pPr>
      <w:r w:rsidRPr="007B3024">
        <w:rPr>
          <w:bCs/>
          <w:color w:val="000000" w:themeColor="text1"/>
          <w:szCs w:val="24"/>
          <w:lang w:val="hr-HR"/>
        </w:rPr>
        <w:t>Dana 24. travnja 2025. godine izdana je zadužnica u iznosu od 20.000,00 eura u korist Ministarstva demografije i useljeništva, kao jamstvo za uredno izvršenje obveza po Ugovoru o dodjeli bespovratnih sredstava za projekt „Dostupnost kvalitetne skrbi za djecu u lokalnim zajednicama kroz poboljšanje materijalnih uvjeta u dječjim vrtićima“, s rokom važenja do travnja 2026. godine.</w:t>
      </w:r>
    </w:p>
    <w:p w14:paraId="77440D29" w14:textId="77777777" w:rsidR="00824C29" w:rsidRPr="007B3024" w:rsidRDefault="00824C29" w:rsidP="00824C29">
      <w:pPr>
        <w:ind w:left="675"/>
        <w:jc w:val="both"/>
        <w:rPr>
          <w:bCs/>
          <w:color w:val="000000" w:themeColor="text1"/>
          <w:szCs w:val="24"/>
          <w:lang w:val="hr-HR"/>
        </w:rPr>
      </w:pPr>
    </w:p>
    <w:p w14:paraId="08B9E5AB" w14:textId="77777777" w:rsidR="00824C29" w:rsidRPr="007B3024" w:rsidRDefault="00824C29" w:rsidP="00824C29">
      <w:pPr>
        <w:ind w:left="675"/>
        <w:jc w:val="both"/>
        <w:rPr>
          <w:bCs/>
          <w:color w:val="000000" w:themeColor="text1"/>
          <w:szCs w:val="24"/>
          <w:lang w:val="hr-HR"/>
        </w:rPr>
      </w:pPr>
      <w:r w:rsidRPr="007B3024">
        <w:rPr>
          <w:bCs/>
          <w:color w:val="000000" w:themeColor="text1"/>
          <w:szCs w:val="24"/>
          <w:lang w:val="hr-HR"/>
        </w:rPr>
        <w:t>Dana 25. lipnja 2025. godine izdana je zadužnica u ukupnom iznosu od 22.000,00 eura (2.000,00 eura i 20.000,00 eura) u korist Ministarstva regionalnog razvoja i fondova Europske unije, kao jamstvo za uredno izvršenje obveza po Ugovoru o financiranju projekta „Odvodnja oborinske vode sa prometnica u Općini Donja Dubrava“, s rokom važenja do lipnja 2026. godine.</w:t>
      </w:r>
    </w:p>
    <w:p w14:paraId="5EAC89B1" w14:textId="77777777" w:rsidR="00824C29" w:rsidRPr="007B3024" w:rsidRDefault="00824C29" w:rsidP="00824C29">
      <w:pPr>
        <w:ind w:left="675"/>
        <w:jc w:val="both"/>
        <w:rPr>
          <w:bCs/>
          <w:color w:val="000000" w:themeColor="text1"/>
          <w:szCs w:val="24"/>
          <w:lang w:val="hr-HR"/>
        </w:rPr>
      </w:pPr>
    </w:p>
    <w:p w14:paraId="06141B0D" w14:textId="1C2B2A76" w:rsidR="00AF6427" w:rsidRPr="007B3024" w:rsidRDefault="00824C29" w:rsidP="00824C29">
      <w:pPr>
        <w:ind w:left="675"/>
        <w:jc w:val="both"/>
        <w:rPr>
          <w:bCs/>
          <w:color w:val="000000" w:themeColor="text1"/>
          <w:szCs w:val="24"/>
          <w:lang w:val="hr-HR"/>
        </w:rPr>
      </w:pPr>
      <w:r w:rsidRPr="007B3024">
        <w:rPr>
          <w:bCs/>
          <w:color w:val="000000" w:themeColor="text1"/>
          <w:szCs w:val="24"/>
          <w:lang w:val="hr-HR"/>
        </w:rPr>
        <w:t>U izvještajnom razdoblju nije bilo aktiviranja izdanih jamstava, odnosno nije bilo plaćanja po protestiranim jamstvima.</w:t>
      </w:r>
    </w:p>
    <w:p w14:paraId="1DDE737C" w14:textId="77777777" w:rsidR="00E5120B" w:rsidRPr="007B3024" w:rsidRDefault="00E5120B" w:rsidP="00AF6427">
      <w:pPr>
        <w:jc w:val="both"/>
        <w:rPr>
          <w:bCs/>
          <w:color w:val="000000" w:themeColor="text1"/>
          <w:szCs w:val="24"/>
          <w:lang w:val="hr-HR"/>
        </w:rPr>
      </w:pPr>
    </w:p>
    <w:p w14:paraId="0BF85DA6" w14:textId="5533DD3D" w:rsidR="00AF6427" w:rsidRPr="007B3024" w:rsidRDefault="00AF6427" w:rsidP="00AF6427">
      <w:pPr>
        <w:numPr>
          <w:ilvl w:val="0"/>
          <w:numId w:val="2"/>
        </w:numPr>
        <w:jc w:val="both"/>
        <w:rPr>
          <w:b/>
          <w:color w:val="000000" w:themeColor="text1"/>
          <w:szCs w:val="24"/>
          <w:lang w:val="hr-HR"/>
        </w:rPr>
      </w:pPr>
      <w:r w:rsidRPr="007B3024">
        <w:rPr>
          <w:b/>
          <w:color w:val="000000" w:themeColor="text1"/>
          <w:szCs w:val="24"/>
          <w:lang w:val="hr-HR"/>
        </w:rPr>
        <w:t>IZVJEŠTAJ O KORIŠTENJU SREDSTAVA FONDOVA EU</w:t>
      </w:r>
    </w:p>
    <w:p w14:paraId="4322950B" w14:textId="0440FFDB" w:rsidR="00860506" w:rsidRPr="007B3024" w:rsidRDefault="00860506" w:rsidP="00860506">
      <w:pPr>
        <w:ind w:left="675"/>
        <w:jc w:val="both"/>
        <w:rPr>
          <w:bCs/>
          <w:color w:val="000000" w:themeColor="text1"/>
          <w:szCs w:val="24"/>
          <w:lang w:val="hr-HR"/>
        </w:rPr>
      </w:pPr>
      <w:r w:rsidRPr="007B3024">
        <w:rPr>
          <w:bCs/>
          <w:color w:val="000000" w:themeColor="text1"/>
          <w:szCs w:val="24"/>
          <w:lang w:val="hr-HR"/>
        </w:rPr>
        <w:t>Općina Donja Dubrava tijekom izvještajnog razdoblja provodila je više projekata financiranih sredstvima fondova Europske unije</w:t>
      </w:r>
      <w:r w:rsidR="00686509" w:rsidRPr="007B3024">
        <w:rPr>
          <w:bCs/>
          <w:color w:val="000000" w:themeColor="text1"/>
          <w:szCs w:val="24"/>
          <w:lang w:val="hr-HR"/>
        </w:rPr>
        <w:t xml:space="preserve">: </w:t>
      </w:r>
      <w:r w:rsidRPr="007B3024">
        <w:rPr>
          <w:bCs/>
          <w:color w:val="000000" w:themeColor="text1"/>
          <w:szCs w:val="24"/>
          <w:lang w:val="hr-HR"/>
        </w:rPr>
        <w:t xml:space="preserve"> </w:t>
      </w:r>
    </w:p>
    <w:p w14:paraId="20BC9AEB" w14:textId="77777777" w:rsidR="00860506" w:rsidRPr="007B3024" w:rsidRDefault="00860506" w:rsidP="00860506">
      <w:pPr>
        <w:ind w:left="675"/>
        <w:jc w:val="both"/>
        <w:rPr>
          <w:bCs/>
          <w:color w:val="000000" w:themeColor="text1"/>
          <w:szCs w:val="24"/>
          <w:lang w:val="hr-HR"/>
        </w:rPr>
      </w:pPr>
    </w:p>
    <w:p w14:paraId="7E8FEDA1" w14:textId="77777777" w:rsidR="00860506" w:rsidRPr="007B3024" w:rsidRDefault="00860506" w:rsidP="00860506">
      <w:pPr>
        <w:ind w:left="675"/>
        <w:jc w:val="both"/>
        <w:rPr>
          <w:bCs/>
          <w:color w:val="000000" w:themeColor="text1"/>
          <w:szCs w:val="24"/>
          <w:lang w:val="hr-HR"/>
        </w:rPr>
      </w:pPr>
      <w:r w:rsidRPr="007B3024">
        <w:rPr>
          <w:bCs/>
          <w:color w:val="000000" w:themeColor="text1"/>
          <w:szCs w:val="24"/>
          <w:lang w:val="hr-HR"/>
        </w:rPr>
        <w:t xml:space="preserve">1. Tradicija bez granica – </w:t>
      </w:r>
      <w:proofErr w:type="spellStart"/>
      <w:r w:rsidRPr="007B3024">
        <w:rPr>
          <w:bCs/>
          <w:color w:val="000000" w:themeColor="text1"/>
          <w:szCs w:val="24"/>
          <w:lang w:val="hr-HR"/>
        </w:rPr>
        <w:t>Interreg</w:t>
      </w:r>
      <w:proofErr w:type="spellEnd"/>
      <w:r w:rsidRPr="007B3024">
        <w:rPr>
          <w:bCs/>
          <w:color w:val="000000" w:themeColor="text1"/>
          <w:szCs w:val="24"/>
          <w:lang w:val="hr-HR"/>
        </w:rPr>
        <w:t xml:space="preserve"> Slovenija – Hrvatska</w:t>
      </w:r>
    </w:p>
    <w:p w14:paraId="729C2588" w14:textId="77777777" w:rsidR="00860506" w:rsidRPr="007B3024" w:rsidRDefault="00860506" w:rsidP="00860506">
      <w:pPr>
        <w:ind w:left="675"/>
        <w:jc w:val="both"/>
        <w:rPr>
          <w:bCs/>
          <w:color w:val="000000" w:themeColor="text1"/>
          <w:szCs w:val="24"/>
          <w:lang w:val="hr-HR"/>
        </w:rPr>
      </w:pPr>
    </w:p>
    <w:p w14:paraId="6B58CFE9" w14:textId="77777777" w:rsidR="00860506" w:rsidRPr="007B3024" w:rsidRDefault="00860506" w:rsidP="00860506">
      <w:pPr>
        <w:ind w:left="675"/>
        <w:jc w:val="both"/>
        <w:rPr>
          <w:bCs/>
          <w:color w:val="000000" w:themeColor="text1"/>
          <w:szCs w:val="24"/>
          <w:lang w:val="hr-HR"/>
        </w:rPr>
      </w:pPr>
      <w:r w:rsidRPr="007B3024">
        <w:rPr>
          <w:bCs/>
          <w:color w:val="000000" w:themeColor="text1"/>
          <w:szCs w:val="24"/>
          <w:lang w:val="hr-HR"/>
        </w:rPr>
        <w:t xml:space="preserve">Projekt „Tradicija bez granica“ prijavljen je 2024. godine u okviru </w:t>
      </w:r>
      <w:proofErr w:type="spellStart"/>
      <w:r w:rsidRPr="007B3024">
        <w:rPr>
          <w:bCs/>
          <w:color w:val="000000" w:themeColor="text1"/>
          <w:szCs w:val="24"/>
          <w:lang w:val="hr-HR"/>
        </w:rPr>
        <w:t>Interreg</w:t>
      </w:r>
      <w:proofErr w:type="spellEnd"/>
      <w:r w:rsidRPr="007B3024">
        <w:rPr>
          <w:bCs/>
          <w:color w:val="000000" w:themeColor="text1"/>
          <w:szCs w:val="24"/>
          <w:lang w:val="hr-HR"/>
        </w:rPr>
        <w:t xml:space="preserve"> programa Slovenija – Hrvatska, a odobren u ožujku 2025. godine. Ukupna vrijednost projekta iznosi 31.000,00 eura, od čega se na Općinu Donja Dubrava odnosi 14.100,00 eura (sufinanciranje Ministarstva u iznosu od 1.700,00 eura te sredstva </w:t>
      </w:r>
      <w:proofErr w:type="spellStart"/>
      <w:r w:rsidRPr="007B3024">
        <w:rPr>
          <w:bCs/>
          <w:color w:val="000000" w:themeColor="text1"/>
          <w:szCs w:val="24"/>
          <w:lang w:val="hr-HR"/>
        </w:rPr>
        <w:t>Interreg</w:t>
      </w:r>
      <w:proofErr w:type="spellEnd"/>
      <w:r w:rsidRPr="007B3024">
        <w:rPr>
          <w:bCs/>
          <w:color w:val="000000" w:themeColor="text1"/>
          <w:szCs w:val="24"/>
          <w:lang w:val="hr-HR"/>
        </w:rPr>
        <w:t xml:space="preserve"> programa u iznosu od 12.400,00 eura), dok preostali dio sredstava pripada projektnom partneru Općini </w:t>
      </w:r>
      <w:proofErr w:type="spellStart"/>
      <w:r w:rsidRPr="007B3024">
        <w:rPr>
          <w:bCs/>
          <w:color w:val="000000" w:themeColor="text1"/>
          <w:szCs w:val="24"/>
          <w:lang w:val="hr-HR"/>
        </w:rPr>
        <w:t>Dornava</w:t>
      </w:r>
      <w:proofErr w:type="spellEnd"/>
      <w:r w:rsidRPr="007B3024">
        <w:rPr>
          <w:bCs/>
          <w:color w:val="000000" w:themeColor="text1"/>
          <w:szCs w:val="24"/>
          <w:lang w:val="hr-HR"/>
        </w:rPr>
        <w:t>. Projekt je uspješno proveden i završen tijekom 2025. godine.</w:t>
      </w:r>
    </w:p>
    <w:p w14:paraId="492D0113" w14:textId="77777777" w:rsidR="00860506" w:rsidRPr="007B3024" w:rsidRDefault="00860506" w:rsidP="00860506">
      <w:pPr>
        <w:ind w:left="675"/>
        <w:jc w:val="both"/>
        <w:rPr>
          <w:bCs/>
          <w:color w:val="000000" w:themeColor="text1"/>
          <w:szCs w:val="24"/>
          <w:lang w:val="hr-HR"/>
        </w:rPr>
      </w:pPr>
    </w:p>
    <w:p w14:paraId="5E8F113D" w14:textId="77777777" w:rsidR="00860506" w:rsidRPr="007B3024" w:rsidRDefault="00860506" w:rsidP="00860506">
      <w:pPr>
        <w:ind w:left="675"/>
        <w:jc w:val="both"/>
        <w:rPr>
          <w:bCs/>
          <w:color w:val="000000" w:themeColor="text1"/>
          <w:szCs w:val="24"/>
          <w:lang w:val="hr-HR"/>
        </w:rPr>
      </w:pPr>
      <w:r w:rsidRPr="007B3024">
        <w:rPr>
          <w:bCs/>
          <w:color w:val="000000" w:themeColor="text1"/>
          <w:szCs w:val="24"/>
          <w:lang w:val="hr-HR"/>
        </w:rPr>
        <w:t>2. Zlatarske avanture</w:t>
      </w:r>
    </w:p>
    <w:p w14:paraId="31953B1C" w14:textId="77777777" w:rsidR="00860506" w:rsidRPr="007B3024" w:rsidRDefault="00860506" w:rsidP="00860506">
      <w:pPr>
        <w:ind w:left="675"/>
        <w:jc w:val="both"/>
        <w:rPr>
          <w:bCs/>
          <w:color w:val="000000" w:themeColor="text1"/>
          <w:szCs w:val="24"/>
          <w:lang w:val="hr-HR"/>
        </w:rPr>
      </w:pPr>
    </w:p>
    <w:p w14:paraId="450974DE" w14:textId="77777777" w:rsidR="00860506" w:rsidRPr="007B3024" w:rsidRDefault="00860506" w:rsidP="00860506">
      <w:pPr>
        <w:ind w:left="675"/>
        <w:jc w:val="both"/>
        <w:rPr>
          <w:bCs/>
          <w:color w:val="000000" w:themeColor="text1"/>
          <w:szCs w:val="24"/>
          <w:lang w:val="hr-HR"/>
        </w:rPr>
      </w:pPr>
      <w:r w:rsidRPr="007B3024">
        <w:rPr>
          <w:bCs/>
          <w:color w:val="000000" w:themeColor="text1"/>
          <w:szCs w:val="24"/>
          <w:lang w:val="hr-HR"/>
        </w:rPr>
        <w:t xml:space="preserve">Projekt „Zlatarske avanture“ provodi se u okviru </w:t>
      </w:r>
      <w:proofErr w:type="spellStart"/>
      <w:r w:rsidRPr="007B3024">
        <w:rPr>
          <w:bCs/>
          <w:color w:val="000000" w:themeColor="text1"/>
          <w:szCs w:val="24"/>
          <w:lang w:val="hr-HR"/>
        </w:rPr>
        <w:t>Interreg</w:t>
      </w:r>
      <w:proofErr w:type="spellEnd"/>
      <w:r w:rsidRPr="007B3024">
        <w:rPr>
          <w:bCs/>
          <w:color w:val="000000" w:themeColor="text1"/>
          <w:szCs w:val="24"/>
          <w:lang w:val="hr-HR"/>
        </w:rPr>
        <w:t xml:space="preserve"> programa Slovenija – Hrvatska. Nositelj projekta je Općina Donja Dubrava, dok su partneri Turistička zajednica Međimurske županije, Općina </w:t>
      </w:r>
      <w:proofErr w:type="spellStart"/>
      <w:r w:rsidRPr="007B3024">
        <w:rPr>
          <w:bCs/>
          <w:color w:val="000000" w:themeColor="text1"/>
          <w:szCs w:val="24"/>
          <w:lang w:val="hr-HR"/>
        </w:rPr>
        <w:t>Duplek</w:t>
      </w:r>
      <w:proofErr w:type="spellEnd"/>
      <w:r w:rsidRPr="007B3024">
        <w:rPr>
          <w:bCs/>
          <w:color w:val="000000" w:themeColor="text1"/>
          <w:szCs w:val="24"/>
          <w:lang w:val="hr-HR"/>
        </w:rPr>
        <w:t xml:space="preserve">, Općina </w:t>
      </w:r>
      <w:proofErr w:type="spellStart"/>
      <w:r w:rsidRPr="007B3024">
        <w:rPr>
          <w:bCs/>
          <w:color w:val="000000" w:themeColor="text1"/>
          <w:szCs w:val="24"/>
          <w:lang w:val="hr-HR"/>
        </w:rPr>
        <w:t>Zavrč</w:t>
      </w:r>
      <w:proofErr w:type="spellEnd"/>
      <w:r w:rsidRPr="007B3024">
        <w:rPr>
          <w:bCs/>
          <w:color w:val="000000" w:themeColor="text1"/>
          <w:szCs w:val="24"/>
          <w:lang w:val="hr-HR"/>
        </w:rPr>
        <w:t>, Razvojna agencija Slovenske gorice d.o.o. i Lokalna akcijska grupa Mura-Drava.</w:t>
      </w:r>
    </w:p>
    <w:p w14:paraId="16D53E5F" w14:textId="77777777" w:rsidR="00860506" w:rsidRPr="007B3024" w:rsidRDefault="00860506" w:rsidP="00860506">
      <w:pPr>
        <w:ind w:left="675"/>
        <w:jc w:val="both"/>
        <w:rPr>
          <w:bCs/>
          <w:color w:val="000000" w:themeColor="text1"/>
          <w:szCs w:val="24"/>
          <w:lang w:val="hr-HR"/>
        </w:rPr>
      </w:pPr>
    </w:p>
    <w:p w14:paraId="0DC66E33" w14:textId="77777777" w:rsidR="00860506" w:rsidRPr="007B3024" w:rsidRDefault="00860506" w:rsidP="00860506">
      <w:pPr>
        <w:ind w:left="675"/>
        <w:jc w:val="both"/>
        <w:rPr>
          <w:bCs/>
          <w:color w:val="000000" w:themeColor="text1"/>
          <w:szCs w:val="24"/>
          <w:lang w:val="hr-HR"/>
        </w:rPr>
      </w:pPr>
      <w:r w:rsidRPr="007B3024">
        <w:rPr>
          <w:bCs/>
          <w:color w:val="000000" w:themeColor="text1"/>
          <w:szCs w:val="24"/>
          <w:lang w:val="hr-HR"/>
        </w:rPr>
        <w:t>Ukupna vrijednost projekta iznosi 1.210.765,84 eura, pri čemu se projekt sufinancira u omjeru 80% sredstvima Europske unije, dok 20% osiguravaju korisnik i projektni partneri. Provedba projekta je u tijeku.</w:t>
      </w:r>
    </w:p>
    <w:p w14:paraId="107E4A09" w14:textId="77777777" w:rsidR="00860506" w:rsidRPr="007B3024" w:rsidRDefault="00860506" w:rsidP="00860506">
      <w:pPr>
        <w:ind w:left="675"/>
        <w:jc w:val="both"/>
        <w:rPr>
          <w:bCs/>
          <w:color w:val="000000" w:themeColor="text1"/>
          <w:szCs w:val="24"/>
          <w:lang w:val="hr-HR"/>
        </w:rPr>
      </w:pPr>
    </w:p>
    <w:p w14:paraId="57EAF4E3" w14:textId="77777777" w:rsidR="00860506" w:rsidRPr="007B3024" w:rsidRDefault="00860506" w:rsidP="00860506">
      <w:pPr>
        <w:ind w:left="675"/>
        <w:jc w:val="both"/>
        <w:rPr>
          <w:bCs/>
          <w:color w:val="000000" w:themeColor="text1"/>
          <w:szCs w:val="24"/>
          <w:lang w:val="hr-HR"/>
        </w:rPr>
      </w:pPr>
      <w:r w:rsidRPr="007B3024">
        <w:rPr>
          <w:bCs/>
          <w:color w:val="000000" w:themeColor="text1"/>
          <w:szCs w:val="24"/>
          <w:lang w:val="hr-HR"/>
        </w:rPr>
        <w:t xml:space="preserve">3. Rekonstrukcija građevine javne i društvene namjene – Interpretacijski centar Palača međimurske </w:t>
      </w:r>
      <w:proofErr w:type="spellStart"/>
      <w:r w:rsidRPr="007B3024">
        <w:rPr>
          <w:bCs/>
          <w:color w:val="000000" w:themeColor="text1"/>
          <w:szCs w:val="24"/>
          <w:lang w:val="hr-HR"/>
        </w:rPr>
        <w:t>popevke</w:t>
      </w:r>
      <w:proofErr w:type="spellEnd"/>
    </w:p>
    <w:p w14:paraId="6BC19C74" w14:textId="77777777" w:rsidR="00860506" w:rsidRPr="007B3024" w:rsidRDefault="00860506" w:rsidP="00860506">
      <w:pPr>
        <w:ind w:left="675"/>
        <w:jc w:val="both"/>
        <w:rPr>
          <w:bCs/>
          <w:color w:val="000000" w:themeColor="text1"/>
          <w:szCs w:val="24"/>
          <w:lang w:val="hr-HR"/>
        </w:rPr>
      </w:pPr>
    </w:p>
    <w:p w14:paraId="7D9BEEDF" w14:textId="77777777" w:rsidR="00860506" w:rsidRPr="007B3024" w:rsidRDefault="00860506" w:rsidP="00860506">
      <w:pPr>
        <w:ind w:left="675"/>
        <w:jc w:val="both"/>
        <w:rPr>
          <w:bCs/>
          <w:color w:val="000000" w:themeColor="text1"/>
          <w:szCs w:val="24"/>
          <w:lang w:val="hr-HR"/>
        </w:rPr>
      </w:pPr>
      <w:r w:rsidRPr="007B3024">
        <w:rPr>
          <w:bCs/>
          <w:color w:val="000000" w:themeColor="text1"/>
          <w:szCs w:val="24"/>
          <w:lang w:val="hr-HR"/>
        </w:rPr>
        <w:t xml:space="preserve">Projekt rekonstrukcije građevine javne i društvene namjene 2.b skupine – Interpretacijski centar „Palača međimurske </w:t>
      </w:r>
      <w:proofErr w:type="spellStart"/>
      <w:r w:rsidRPr="007B3024">
        <w:rPr>
          <w:bCs/>
          <w:color w:val="000000" w:themeColor="text1"/>
          <w:szCs w:val="24"/>
          <w:lang w:val="hr-HR"/>
        </w:rPr>
        <w:t>popevke</w:t>
      </w:r>
      <w:proofErr w:type="spellEnd"/>
      <w:r w:rsidRPr="007B3024">
        <w:rPr>
          <w:bCs/>
          <w:color w:val="000000" w:themeColor="text1"/>
          <w:szCs w:val="24"/>
          <w:lang w:val="hr-HR"/>
        </w:rPr>
        <w:t>“ provodi se u okviru Nacionalnog plana oporavka i otpornosti (NPOO), program NPOO.C1.6.R1-I1.01-V1.0006.</w:t>
      </w:r>
    </w:p>
    <w:p w14:paraId="6227CE08" w14:textId="77777777" w:rsidR="00860506" w:rsidRPr="007B3024" w:rsidRDefault="00860506" w:rsidP="00860506">
      <w:pPr>
        <w:ind w:left="675"/>
        <w:jc w:val="both"/>
        <w:rPr>
          <w:bCs/>
          <w:color w:val="000000" w:themeColor="text1"/>
          <w:szCs w:val="24"/>
          <w:lang w:val="hr-HR"/>
        </w:rPr>
      </w:pPr>
    </w:p>
    <w:p w14:paraId="145B8C68" w14:textId="2C17EDD6" w:rsidR="00AF6427" w:rsidRPr="007B3024" w:rsidRDefault="00860506" w:rsidP="00860506">
      <w:pPr>
        <w:ind w:left="675"/>
        <w:jc w:val="both"/>
        <w:rPr>
          <w:bCs/>
          <w:color w:val="000000" w:themeColor="text1"/>
          <w:szCs w:val="24"/>
          <w:lang w:val="hr-HR"/>
        </w:rPr>
      </w:pPr>
      <w:r w:rsidRPr="007B3024">
        <w:rPr>
          <w:bCs/>
          <w:color w:val="000000" w:themeColor="text1"/>
          <w:szCs w:val="24"/>
          <w:lang w:val="hr-HR"/>
        </w:rPr>
        <w:t>Ugovor o dodjeli bespovratnih sredstava sklopljen je s Ministarstvom turizma i sporta. Ukupna vrijednost projekta iznosi 5.612.250,25 eura, dok su odobrena bespovratna sredstva u iznosu od 5.555.410,02 eura. Projekt je trenutno u fazi provedbe.</w:t>
      </w:r>
    </w:p>
    <w:p w14:paraId="5FA7EA75" w14:textId="77777777" w:rsidR="00D9238C" w:rsidRPr="007B3024" w:rsidRDefault="00D9238C" w:rsidP="008029C4">
      <w:pPr>
        <w:ind w:left="675"/>
        <w:jc w:val="both"/>
        <w:rPr>
          <w:bCs/>
          <w:color w:val="000000" w:themeColor="text1"/>
          <w:szCs w:val="24"/>
          <w:lang w:val="hr-HR"/>
        </w:rPr>
      </w:pPr>
    </w:p>
    <w:p w14:paraId="4D6604B8" w14:textId="77777777" w:rsidR="00EE3F23" w:rsidRPr="007B3024" w:rsidRDefault="00EE3F23" w:rsidP="00AF6427">
      <w:pPr>
        <w:numPr>
          <w:ilvl w:val="0"/>
          <w:numId w:val="2"/>
        </w:numPr>
        <w:jc w:val="both"/>
        <w:rPr>
          <w:b/>
          <w:color w:val="000000" w:themeColor="text1"/>
          <w:szCs w:val="24"/>
          <w:lang w:val="hr-HR"/>
        </w:rPr>
      </w:pPr>
      <w:r w:rsidRPr="007B3024">
        <w:rPr>
          <w:b/>
          <w:color w:val="000000" w:themeColor="text1"/>
          <w:szCs w:val="24"/>
          <w:lang w:val="hr-HR"/>
        </w:rPr>
        <w:t>IZVJEŠTAJ O NENAPLAĆENIM POTRAŽIVANJIMA</w:t>
      </w:r>
    </w:p>
    <w:p w14:paraId="154FDB53" w14:textId="436041E3" w:rsidR="00285B36" w:rsidRPr="007B3024" w:rsidRDefault="004A1C7E" w:rsidP="008029C4">
      <w:pPr>
        <w:ind w:left="675"/>
        <w:jc w:val="both"/>
        <w:rPr>
          <w:bCs/>
          <w:color w:val="000000" w:themeColor="text1"/>
          <w:szCs w:val="24"/>
          <w:lang w:val="hr-HR"/>
        </w:rPr>
      </w:pPr>
      <w:r w:rsidRPr="007B3024">
        <w:rPr>
          <w:bCs/>
          <w:color w:val="000000" w:themeColor="text1"/>
          <w:szCs w:val="24"/>
          <w:lang w:val="hr-HR"/>
        </w:rPr>
        <w:t>Potraživanja Općine Donja Dubrava na dan</w:t>
      </w:r>
      <w:r w:rsidR="00285B36" w:rsidRPr="007B3024">
        <w:rPr>
          <w:bCs/>
          <w:color w:val="000000" w:themeColor="text1"/>
          <w:szCs w:val="24"/>
          <w:lang w:val="hr-HR"/>
        </w:rPr>
        <w:t xml:space="preserve"> 31.12.202</w:t>
      </w:r>
      <w:r w:rsidR="00823F45" w:rsidRPr="007B3024">
        <w:rPr>
          <w:bCs/>
          <w:color w:val="000000" w:themeColor="text1"/>
          <w:szCs w:val="24"/>
          <w:lang w:val="hr-HR"/>
        </w:rPr>
        <w:t>5</w:t>
      </w:r>
      <w:r w:rsidR="00285B36" w:rsidRPr="007B3024">
        <w:rPr>
          <w:bCs/>
          <w:color w:val="000000" w:themeColor="text1"/>
          <w:szCs w:val="24"/>
          <w:lang w:val="hr-HR"/>
        </w:rPr>
        <w:t>. iznose</w:t>
      </w:r>
      <w:r w:rsidR="005A5F72" w:rsidRPr="007B3024">
        <w:rPr>
          <w:bCs/>
          <w:color w:val="000000" w:themeColor="text1"/>
          <w:szCs w:val="24"/>
          <w:lang w:val="hr-HR"/>
        </w:rPr>
        <w:t xml:space="preserve"> </w:t>
      </w:r>
      <w:r w:rsidR="00BC094E" w:rsidRPr="007B3024">
        <w:rPr>
          <w:bCs/>
          <w:color w:val="000000" w:themeColor="text1"/>
          <w:szCs w:val="24"/>
          <w:lang w:val="hr-HR"/>
        </w:rPr>
        <w:t>54.952,33</w:t>
      </w:r>
      <w:r w:rsidR="003C7EF1" w:rsidRPr="007B3024">
        <w:rPr>
          <w:bCs/>
          <w:color w:val="000000" w:themeColor="text1"/>
          <w:szCs w:val="24"/>
          <w:lang w:val="hr-HR"/>
        </w:rPr>
        <w:t xml:space="preserve"> €</w:t>
      </w:r>
      <w:r w:rsidR="005A5F72" w:rsidRPr="007B3024">
        <w:rPr>
          <w:bCs/>
          <w:color w:val="000000" w:themeColor="text1"/>
          <w:szCs w:val="24"/>
          <w:lang w:val="hr-HR"/>
        </w:rPr>
        <w:t>, od čega je dospjelo</w:t>
      </w:r>
      <w:r w:rsidR="00285B36" w:rsidRPr="007B3024">
        <w:rPr>
          <w:bCs/>
          <w:color w:val="000000" w:themeColor="text1"/>
          <w:szCs w:val="24"/>
          <w:lang w:val="hr-HR"/>
        </w:rPr>
        <w:t xml:space="preserve"> </w:t>
      </w:r>
      <w:r w:rsidR="00BC094E" w:rsidRPr="007B3024">
        <w:rPr>
          <w:bCs/>
          <w:color w:val="000000" w:themeColor="text1"/>
          <w:szCs w:val="24"/>
          <w:lang w:val="hr-HR"/>
        </w:rPr>
        <w:t>15.894,74</w:t>
      </w:r>
      <w:r w:rsidR="005E3F8D" w:rsidRPr="007B3024">
        <w:rPr>
          <w:bCs/>
          <w:color w:val="000000" w:themeColor="text1"/>
          <w:szCs w:val="24"/>
          <w:lang w:val="hr-HR"/>
        </w:rPr>
        <w:t xml:space="preserve"> €</w:t>
      </w:r>
      <w:r w:rsidR="005A5F72" w:rsidRPr="007B3024">
        <w:rPr>
          <w:bCs/>
          <w:color w:val="000000" w:themeColor="text1"/>
          <w:szCs w:val="24"/>
          <w:lang w:val="hr-HR"/>
        </w:rPr>
        <w:t xml:space="preserve"> dok je nedospjelo </w:t>
      </w:r>
      <w:r w:rsidR="00BC094E" w:rsidRPr="007B3024">
        <w:rPr>
          <w:bCs/>
          <w:color w:val="000000" w:themeColor="text1"/>
          <w:szCs w:val="24"/>
          <w:lang w:val="hr-HR"/>
        </w:rPr>
        <w:t>39.057,59</w:t>
      </w:r>
      <w:r w:rsidR="005E3F8D" w:rsidRPr="007B3024">
        <w:rPr>
          <w:bCs/>
          <w:color w:val="000000" w:themeColor="text1"/>
          <w:szCs w:val="24"/>
          <w:lang w:val="hr-HR"/>
        </w:rPr>
        <w:t xml:space="preserve"> €.</w:t>
      </w:r>
    </w:p>
    <w:p w14:paraId="5DCFF446" w14:textId="11A2A8FB" w:rsidR="00EE3F23" w:rsidRPr="007B3024" w:rsidRDefault="00285B36" w:rsidP="008029C4">
      <w:pPr>
        <w:ind w:left="675"/>
        <w:jc w:val="both"/>
        <w:rPr>
          <w:bCs/>
          <w:color w:val="000000" w:themeColor="text1"/>
          <w:szCs w:val="24"/>
          <w:lang w:val="hr-HR"/>
        </w:rPr>
      </w:pPr>
      <w:r w:rsidRPr="007B3024">
        <w:rPr>
          <w:bCs/>
          <w:color w:val="000000" w:themeColor="text1"/>
          <w:szCs w:val="24"/>
          <w:lang w:val="hr-HR"/>
        </w:rPr>
        <w:t>Potraživanja proračunskog korisnika Dječeg vtića Klinčec</w:t>
      </w:r>
      <w:r w:rsidR="00BC094E" w:rsidRPr="007B3024">
        <w:rPr>
          <w:bCs/>
          <w:color w:val="000000" w:themeColor="text1"/>
          <w:szCs w:val="24"/>
          <w:lang w:val="hr-HR"/>
        </w:rPr>
        <w:t xml:space="preserve"> su</w:t>
      </w:r>
      <w:r w:rsidR="004A1C7E" w:rsidRPr="007B3024">
        <w:rPr>
          <w:bCs/>
          <w:color w:val="000000" w:themeColor="text1"/>
          <w:szCs w:val="24"/>
          <w:lang w:val="hr-HR"/>
        </w:rPr>
        <w:t xml:space="preserve"> </w:t>
      </w:r>
      <w:r w:rsidRPr="007B3024">
        <w:rPr>
          <w:bCs/>
          <w:color w:val="000000" w:themeColor="text1"/>
          <w:szCs w:val="24"/>
          <w:lang w:val="hr-HR"/>
        </w:rPr>
        <w:t xml:space="preserve">iznose </w:t>
      </w:r>
      <w:r w:rsidR="00662B50" w:rsidRPr="007B3024">
        <w:rPr>
          <w:bCs/>
          <w:color w:val="000000" w:themeColor="text1"/>
          <w:szCs w:val="24"/>
          <w:lang w:val="hr-HR"/>
        </w:rPr>
        <w:t>2.</w:t>
      </w:r>
      <w:r w:rsidR="00BC094E" w:rsidRPr="007B3024">
        <w:rPr>
          <w:bCs/>
          <w:color w:val="000000" w:themeColor="text1"/>
          <w:szCs w:val="24"/>
          <w:lang w:val="hr-HR"/>
        </w:rPr>
        <w:t>407,54</w:t>
      </w:r>
      <w:r w:rsidR="005E3F8D" w:rsidRPr="007B3024">
        <w:rPr>
          <w:bCs/>
          <w:color w:val="000000" w:themeColor="text1"/>
          <w:szCs w:val="24"/>
          <w:lang w:val="hr-HR"/>
        </w:rPr>
        <w:t xml:space="preserve"> €</w:t>
      </w:r>
      <w:r w:rsidR="00B162FE" w:rsidRPr="007B3024">
        <w:rPr>
          <w:bCs/>
          <w:color w:val="000000" w:themeColor="text1"/>
          <w:szCs w:val="24"/>
          <w:lang w:val="hr-HR"/>
        </w:rPr>
        <w:t xml:space="preserve"> (</w:t>
      </w:r>
      <w:r w:rsidR="007B1D8A" w:rsidRPr="007B3024">
        <w:rPr>
          <w:bCs/>
          <w:color w:val="000000" w:themeColor="text1"/>
          <w:szCs w:val="24"/>
          <w:lang w:val="hr-HR"/>
        </w:rPr>
        <w:t xml:space="preserve">Unimer </w:t>
      </w:r>
      <w:r w:rsidR="00BC094E" w:rsidRPr="007B3024">
        <w:rPr>
          <w:bCs/>
          <w:color w:val="000000" w:themeColor="text1"/>
          <w:szCs w:val="24"/>
          <w:lang w:val="hr-HR"/>
        </w:rPr>
        <w:t>118,40</w:t>
      </w:r>
      <w:r w:rsidR="00662B50" w:rsidRPr="007B3024">
        <w:rPr>
          <w:bCs/>
          <w:color w:val="000000" w:themeColor="text1"/>
          <w:szCs w:val="24"/>
          <w:lang w:val="hr-HR"/>
        </w:rPr>
        <w:t xml:space="preserve"> </w:t>
      </w:r>
      <w:r w:rsidR="005E3F8D" w:rsidRPr="007B3024">
        <w:rPr>
          <w:bCs/>
          <w:color w:val="000000" w:themeColor="text1"/>
          <w:szCs w:val="24"/>
          <w:lang w:val="hr-HR"/>
        </w:rPr>
        <w:t>€</w:t>
      </w:r>
      <w:r w:rsidR="007B1D8A" w:rsidRPr="007B3024">
        <w:rPr>
          <w:bCs/>
          <w:color w:val="000000" w:themeColor="text1"/>
          <w:szCs w:val="24"/>
          <w:lang w:val="hr-HR"/>
        </w:rPr>
        <w:t xml:space="preserve"> + </w:t>
      </w:r>
      <w:r w:rsidR="00BC094E" w:rsidRPr="007B3024">
        <w:rPr>
          <w:bCs/>
          <w:color w:val="000000" w:themeColor="text1"/>
          <w:szCs w:val="24"/>
          <w:lang w:val="hr-HR"/>
        </w:rPr>
        <w:t>1.825,08</w:t>
      </w:r>
      <w:r w:rsidR="005E3F8D" w:rsidRPr="007B3024">
        <w:rPr>
          <w:bCs/>
          <w:color w:val="000000" w:themeColor="text1"/>
          <w:szCs w:val="24"/>
          <w:lang w:val="hr-HR"/>
        </w:rPr>
        <w:t xml:space="preserve"> € </w:t>
      </w:r>
      <w:r w:rsidR="007B1D8A" w:rsidRPr="007B3024">
        <w:rPr>
          <w:bCs/>
          <w:color w:val="000000" w:themeColor="text1"/>
          <w:szCs w:val="24"/>
          <w:lang w:val="hr-HR"/>
        </w:rPr>
        <w:t>roditelji</w:t>
      </w:r>
      <w:r w:rsidR="00BC094E" w:rsidRPr="007B3024">
        <w:rPr>
          <w:bCs/>
          <w:color w:val="000000" w:themeColor="text1"/>
          <w:szCs w:val="24"/>
          <w:lang w:val="hr-HR"/>
        </w:rPr>
        <w:t xml:space="preserve"> DD i 464,06 € roditelji DV</w:t>
      </w:r>
      <w:r w:rsidR="00B162FE" w:rsidRPr="007B3024">
        <w:rPr>
          <w:bCs/>
          <w:color w:val="000000" w:themeColor="text1"/>
          <w:szCs w:val="24"/>
          <w:lang w:val="hr-HR"/>
        </w:rPr>
        <w:t>).</w:t>
      </w:r>
    </w:p>
    <w:p w14:paraId="0DDB1978" w14:textId="77777777" w:rsidR="00EE3F23" w:rsidRPr="007B3024" w:rsidRDefault="00EE3F23" w:rsidP="008029C4">
      <w:pPr>
        <w:ind w:left="675"/>
        <w:jc w:val="both"/>
        <w:rPr>
          <w:bCs/>
          <w:color w:val="000000" w:themeColor="text1"/>
          <w:szCs w:val="24"/>
          <w:lang w:val="hr-HR"/>
        </w:rPr>
      </w:pPr>
    </w:p>
    <w:p w14:paraId="296CC39F" w14:textId="77777777" w:rsidR="00EE3F23" w:rsidRPr="000E79B8" w:rsidRDefault="00EE3F23" w:rsidP="00AF6427">
      <w:pPr>
        <w:numPr>
          <w:ilvl w:val="0"/>
          <w:numId w:val="2"/>
        </w:numPr>
        <w:jc w:val="both"/>
        <w:rPr>
          <w:b/>
          <w:szCs w:val="24"/>
          <w:lang w:val="hr-HR"/>
        </w:rPr>
      </w:pPr>
      <w:r w:rsidRPr="000E79B8">
        <w:rPr>
          <w:b/>
          <w:szCs w:val="24"/>
          <w:lang w:val="hr-HR"/>
        </w:rPr>
        <w:t>IZVJEŠTAJ O NEPLAĆENIM  DOSPJELIM OBVEZAMA</w:t>
      </w:r>
    </w:p>
    <w:p w14:paraId="4C9978FD" w14:textId="70E67F61" w:rsidR="00EE3F23" w:rsidRPr="000E79B8" w:rsidRDefault="00064FE6" w:rsidP="008029C4">
      <w:pPr>
        <w:ind w:left="675"/>
        <w:jc w:val="both"/>
        <w:rPr>
          <w:bCs/>
          <w:szCs w:val="24"/>
          <w:lang w:val="hr-HR"/>
        </w:rPr>
      </w:pPr>
      <w:r w:rsidRPr="000E79B8">
        <w:rPr>
          <w:szCs w:val="24"/>
          <w:lang w:val="hr-HR"/>
        </w:rPr>
        <w:t>Općin</w:t>
      </w:r>
      <w:r w:rsidR="007E0853" w:rsidRPr="000E79B8">
        <w:rPr>
          <w:szCs w:val="24"/>
          <w:lang w:val="hr-HR"/>
        </w:rPr>
        <w:t>e</w:t>
      </w:r>
      <w:r w:rsidRPr="000E79B8">
        <w:rPr>
          <w:szCs w:val="24"/>
          <w:lang w:val="hr-HR"/>
        </w:rPr>
        <w:t xml:space="preserve"> Donja Dubrava</w:t>
      </w:r>
      <w:r w:rsidR="005A5F72" w:rsidRPr="000E79B8">
        <w:rPr>
          <w:szCs w:val="24"/>
          <w:lang w:val="hr-HR"/>
        </w:rPr>
        <w:t xml:space="preserve"> na dan 31.12.202</w:t>
      </w:r>
      <w:r w:rsidR="00823F45" w:rsidRPr="000E79B8">
        <w:rPr>
          <w:szCs w:val="24"/>
          <w:lang w:val="hr-HR"/>
        </w:rPr>
        <w:t>5. godine nema neplaćenih dospjelih obveza.</w:t>
      </w:r>
    </w:p>
    <w:p w14:paraId="36C34DAA" w14:textId="6A55E31F" w:rsidR="00EE3F23" w:rsidRPr="000E79B8" w:rsidRDefault="00EE3F23" w:rsidP="008029C4">
      <w:pPr>
        <w:jc w:val="both"/>
        <w:rPr>
          <w:bCs/>
          <w:szCs w:val="24"/>
          <w:lang w:val="hr-HR"/>
        </w:rPr>
      </w:pPr>
      <w:r w:rsidRPr="000E79B8">
        <w:rPr>
          <w:bCs/>
          <w:szCs w:val="24"/>
          <w:lang w:val="hr-HR"/>
        </w:rPr>
        <w:tab/>
        <w:t xml:space="preserve">Proračunski korisnik Dječji vrtić </w:t>
      </w:r>
      <w:r w:rsidR="00285B36" w:rsidRPr="000E79B8">
        <w:rPr>
          <w:bCs/>
          <w:szCs w:val="24"/>
          <w:lang w:val="hr-HR"/>
        </w:rPr>
        <w:t xml:space="preserve">Klinčec </w:t>
      </w:r>
      <w:r w:rsidRPr="000E79B8">
        <w:rPr>
          <w:bCs/>
          <w:szCs w:val="24"/>
          <w:lang w:val="hr-HR"/>
        </w:rPr>
        <w:t>Donja Dubrava nema neplaćenih dospjelih obveza.</w:t>
      </w:r>
    </w:p>
    <w:p w14:paraId="69A12CF2" w14:textId="77777777" w:rsidR="00EE3F23" w:rsidRPr="000E79B8" w:rsidRDefault="00EE3F23" w:rsidP="008029C4">
      <w:pPr>
        <w:ind w:left="660"/>
        <w:jc w:val="both"/>
        <w:rPr>
          <w:bCs/>
          <w:szCs w:val="24"/>
          <w:lang w:val="hr-HR"/>
        </w:rPr>
      </w:pPr>
    </w:p>
    <w:p w14:paraId="67462D3B" w14:textId="02B57347" w:rsidR="00EE3F23" w:rsidRPr="000E79B8" w:rsidRDefault="00EE3F23" w:rsidP="00AF6427">
      <w:pPr>
        <w:numPr>
          <w:ilvl w:val="0"/>
          <w:numId w:val="2"/>
        </w:numPr>
        <w:jc w:val="both"/>
        <w:rPr>
          <w:b/>
          <w:szCs w:val="24"/>
          <w:lang w:val="hr-HR"/>
        </w:rPr>
      </w:pPr>
      <w:r w:rsidRPr="000E79B8">
        <w:rPr>
          <w:b/>
          <w:szCs w:val="24"/>
          <w:lang w:val="hr-HR"/>
        </w:rPr>
        <w:t>STANJE POTENCIJALNIH OBAVEZA</w:t>
      </w:r>
      <w:r w:rsidR="00AF6427">
        <w:rPr>
          <w:b/>
          <w:szCs w:val="24"/>
          <w:lang w:val="hr-HR"/>
        </w:rPr>
        <w:t xml:space="preserve"> PO OSNOVI SUDSKIH SPOROVA</w:t>
      </w:r>
    </w:p>
    <w:p w14:paraId="0A42312A" w14:textId="776F9B1B" w:rsidR="00EE3F23" w:rsidRPr="000E79B8" w:rsidRDefault="00360007" w:rsidP="008029C4">
      <w:pPr>
        <w:ind w:firstLine="675"/>
        <w:jc w:val="both"/>
        <w:rPr>
          <w:bCs/>
          <w:szCs w:val="24"/>
          <w:lang w:val="hr-HR"/>
        </w:rPr>
      </w:pPr>
      <w:r w:rsidRPr="000E79B8">
        <w:rPr>
          <w:bCs/>
          <w:szCs w:val="24"/>
          <w:lang w:val="hr-HR"/>
        </w:rPr>
        <w:t>Nema financijskih potraživanja obaveza po osnovi sudskih postupaka</w:t>
      </w:r>
    </w:p>
    <w:p w14:paraId="2864CDFC" w14:textId="77777777" w:rsidR="00EE3F23" w:rsidRPr="000E79B8" w:rsidRDefault="00EE3F23" w:rsidP="008029C4">
      <w:pPr>
        <w:jc w:val="both"/>
        <w:rPr>
          <w:bCs/>
          <w:szCs w:val="24"/>
          <w:lang w:val="hr-HR"/>
        </w:rPr>
      </w:pPr>
    </w:p>
    <w:p w14:paraId="712AB466" w14:textId="77777777" w:rsidR="004A0AD3" w:rsidRDefault="004A0AD3" w:rsidP="008029C4">
      <w:pPr>
        <w:jc w:val="both"/>
        <w:rPr>
          <w:bCs/>
          <w:szCs w:val="24"/>
          <w:lang w:val="hr-HR"/>
        </w:rPr>
      </w:pPr>
    </w:p>
    <w:p w14:paraId="276DB6F3" w14:textId="77777777" w:rsidR="00DF2819" w:rsidRPr="00B059E6" w:rsidRDefault="00DF2819" w:rsidP="005F456D">
      <w:pPr>
        <w:pStyle w:val="Uvuenotijeloteksta"/>
        <w:ind w:left="0"/>
        <w:rPr>
          <w:b/>
          <w:bCs w:val="0"/>
          <w:i w:val="0"/>
          <w:szCs w:val="24"/>
        </w:rPr>
      </w:pPr>
    </w:p>
    <w:p w14:paraId="55C9B04C" w14:textId="5A80A0F6" w:rsidR="005F456D" w:rsidRPr="00B059E6" w:rsidRDefault="005F456D" w:rsidP="00A30575">
      <w:pPr>
        <w:pStyle w:val="Uvuenotijeloteksta"/>
        <w:jc w:val="right"/>
        <w:rPr>
          <w:b/>
          <w:i w:val="0"/>
          <w:szCs w:val="24"/>
        </w:rPr>
      </w:pPr>
      <w:r w:rsidRPr="00B059E6">
        <w:rPr>
          <w:b/>
          <w:i w:val="0"/>
          <w:szCs w:val="24"/>
        </w:rPr>
        <w:t xml:space="preserve">                                                                                                                                                                                         </w:t>
      </w:r>
      <w:r w:rsidR="009057F6" w:rsidRPr="00B059E6">
        <w:rPr>
          <w:b/>
          <w:i w:val="0"/>
          <w:szCs w:val="24"/>
        </w:rPr>
        <w:t>PROČELNICA</w:t>
      </w:r>
    </w:p>
    <w:p w14:paraId="31548DE9" w14:textId="6DE720ED" w:rsidR="00A30575" w:rsidRPr="00B059E6" w:rsidRDefault="00A30575" w:rsidP="00A30575">
      <w:pPr>
        <w:pStyle w:val="Uvuenotijeloteksta"/>
        <w:jc w:val="right"/>
        <w:rPr>
          <w:b/>
          <w:i w:val="0"/>
          <w:szCs w:val="24"/>
        </w:rPr>
      </w:pPr>
      <w:r w:rsidRPr="00B059E6">
        <w:rPr>
          <w:b/>
          <w:i w:val="0"/>
          <w:szCs w:val="24"/>
        </w:rPr>
        <w:t>Monika Žinić</w:t>
      </w:r>
    </w:p>
    <w:p w14:paraId="0AECB8F4" w14:textId="77777777" w:rsidR="00477690" w:rsidRPr="004A0AD3" w:rsidRDefault="00477690" w:rsidP="00BB03A6">
      <w:pPr>
        <w:pStyle w:val="Uvuenotijeloteksta"/>
        <w:rPr>
          <w:b/>
          <w:bCs w:val="0"/>
          <w:i w:val="0"/>
          <w:szCs w:val="24"/>
        </w:rPr>
      </w:pPr>
    </w:p>
    <w:sectPr w:rsidR="00477690" w:rsidRPr="004A0AD3" w:rsidSect="00B61D01">
      <w:footerReference w:type="default" r:id="rId8"/>
      <w:pgSz w:w="16840" w:h="11907" w:orient="landscape"/>
      <w:pgMar w:top="709" w:right="1134"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D419" w14:textId="77777777" w:rsidR="00D20A85" w:rsidRDefault="00D20A85">
      <w:r>
        <w:separator/>
      </w:r>
    </w:p>
  </w:endnote>
  <w:endnote w:type="continuationSeparator" w:id="0">
    <w:p w14:paraId="7DF7653B" w14:textId="77777777" w:rsidR="00D20A85" w:rsidRDefault="00D2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598676"/>
      <w:docPartObj>
        <w:docPartGallery w:val="Page Numbers (Bottom of Page)"/>
        <w:docPartUnique/>
      </w:docPartObj>
    </w:sdtPr>
    <w:sdtContent>
      <w:p w14:paraId="172796AC" w14:textId="77777777" w:rsidR="00B160E0" w:rsidRDefault="00B160E0">
        <w:pPr>
          <w:pStyle w:val="Podnoje"/>
          <w:jc w:val="center"/>
        </w:pPr>
        <w:r>
          <w:fldChar w:fldCharType="begin"/>
        </w:r>
        <w:r>
          <w:instrText>PAGE   \* MERGEFORMAT</w:instrText>
        </w:r>
        <w:r>
          <w:fldChar w:fldCharType="separate"/>
        </w:r>
        <w:r w:rsidR="00B059E6" w:rsidRPr="00B059E6">
          <w:rPr>
            <w:noProof/>
            <w:lang w:val="hr-HR"/>
          </w:rPr>
          <w:t>11</w:t>
        </w:r>
        <w:r>
          <w:fldChar w:fldCharType="end"/>
        </w:r>
      </w:p>
    </w:sdtContent>
  </w:sdt>
  <w:p w14:paraId="64CBF81C" w14:textId="77777777" w:rsidR="00B160E0" w:rsidRDefault="00B160E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3766" w14:textId="77777777" w:rsidR="00D20A85" w:rsidRDefault="00D20A85">
      <w:r>
        <w:separator/>
      </w:r>
    </w:p>
  </w:footnote>
  <w:footnote w:type="continuationSeparator" w:id="0">
    <w:p w14:paraId="004EC4C1" w14:textId="77777777" w:rsidR="00D20A85" w:rsidRDefault="00D20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3914"/>
    <w:multiLevelType w:val="hybridMultilevel"/>
    <w:tmpl w:val="664AA8AA"/>
    <w:lvl w:ilvl="0" w:tplc="4A728978">
      <w:start w:val="2"/>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 w15:restartNumberingAfterBreak="0">
    <w:nsid w:val="125919F0"/>
    <w:multiLevelType w:val="multilevel"/>
    <w:tmpl w:val="A508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C06AB"/>
    <w:multiLevelType w:val="multilevel"/>
    <w:tmpl w:val="F2A0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25190"/>
    <w:multiLevelType w:val="multilevel"/>
    <w:tmpl w:val="9D2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9417C"/>
    <w:multiLevelType w:val="multilevel"/>
    <w:tmpl w:val="C96A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F1809"/>
    <w:multiLevelType w:val="multilevel"/>
    <w:tmpl w:val="AB1A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729B3"/>
    <w:multiLevelType w:val="multilevel"/>
    <w:tmpl w:val="B63C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C5650"/>
    <w:multiLevelType w:val="hybridMultilevel"/>
    <w:tmpl w:val="60DA0B26"/>
    <w:lvl w:ilvl="0" w:tplc="FAF081F8">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AB93224"/>
    <w:multiLevelType w:val="multilevel"/>
    <w:tmpl w:val="84F2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403F9"/>
    <w:multiLevelType w:val="multilevel"/>
    <w:tmpl w:val="30B8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64A9C"/>
    <w:multiLevelType w:val="multilevel"/>
    <w:tmpl w:val="FEA4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93F84"/>
    <w:multiLevelType w:val="multilevel"/>
    <w:tmpl w:val="DC3A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71E54"/>
    <w:multiLevelType w:val="multilevel"/>
    <w:tmpl w:val="8572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F5BFF"/>
    <w:multiLevelType w:val="multilevel"/>
    <w:tmpl w:val="12B6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32DE1"/>
    <w:multiLevelType w:val="multilevel"/>
    <w:tmpl w:val="9610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41143"/>
    <w:multiLevelType w:val="multilevel"/>
    <w:tmpl w:val="13B8C1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E62FC"/>
    <w:multiLevelType w:val="multilevel"/>
    <w:tmpl w:val="6C8E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1692E"/>
    <w:multiLevelType w:val="multilevel"/>
    <w:tmpl w:val="C908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A5635F"/>
    <w:multiLevelType w:val="multilevel"/>
    <w:tmpl w:val="9BBAAD3C"/>
    <w:lvl w:ilvl="0">
      <w:start w:val="1"/>
      <w:numFmt w:val="decimal"/>
      <w:lvlText w:val="%1."/>
      <w:lvlJc w:val="left"/>
      <w:pPr>
        <w:ind w:left="67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95" w:hanging="1080"/>
      </w:pPr>
      <w:rPr>
        <w:rFonts w:hint="default"/>
      </w:rPr>
    </w:lvl>
    <w:lvl w:ilvl="6">
      <w:start w:val="1"/>
      <w:numFmt w:val="decimal"/>
      <w:isLgl/>
      <w:lvlText w:val="%1.%2.%3.%4.%5.%6.%7."/>
      <w:lvlJc w:val="left"/>
      <w:pPr>
        <w:ind w:left="3915"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4995" w:hanging="1800"/>
      </w:pPr>
      <w:rPr>
        <w:rFonts w:hint="default"/>
      </w:rPr>
    </w:lvl>
  </w:abstractNum>
  <w:abstractNum w:abstractNumId="19" w15:restartNumberingAfterBreak="0">
    <w:nsid w:val="42B964CA"/>
    <w:multiLevelType w:val="multilevel"/>
    <w:tmpl w:val="F034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36070"/>
    <w:multiLevelType w:val="multilevel"/>
    <w:tmpl w:val="9BBAAD3C"/>
    <w:lvl w:ilvl="0">
      <w:start w:val="1"/>
      <w:numFmt w:val="decimal"/>
      <w:lvlText w:val="%1."/>
      <w:lvlJc w:val="left"/>
      <w:pPr>
        <w:ind w:left="67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95" w:hanging="1080"/>
      </w:pPr>
      <w:rPr>
        <w:rFonts w:hint="default"/>
      </w:rPr>
    </w:lvl>
    <w:lvl w:ilvl="6">
      <w:start w:val="1"/>
      <w:numFmt w:val="decimal"/>
      <w:isLgl/>
      <w:lvlText w:val="%1.%2.%3.%4.%5.%6.%7."/>
      <w:lvlJc w:val="left"/>
      <w:pPr>
        <w:ind w:left="3915"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4995" w:hanging="1800"/>
      </w:pPr>
      <w:rPr>
        <w:rFonts w:hint="default"/>
      </w:rPr>
    </w:lvl>
  </w:abstractNum>
  <w:abstractNum w:abstractNumId="21" w15:restartNumberingAfterBreak="0">
    <w:nsid w:val="46A322F7"/>
    <w:multiLevelType w:val="multilevel"/>
    <w:tmpl w:val="352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42163"/>
    <w:multiLevelType w:val="multilevel"/>
    <w:tmpl w:val="F22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731871"/>
    <w:multiLevelType w:val="multilevel"/>
    <w:tmpl w:val="9C7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20E7E"/>
    <w:multiLevelType w:val="multilevel"/>
    <w:tmpl w:val="9BBAAD3C"/>
    <w:lvl w:ilvl="0">
      <w:start w:val="1"/>
      <w:numFmt w:val="decimal"/>
      <w:lvlText w:val="%1."/>
      <w:lvlJc w:val="left"/>
      <w:pPr>
        <w:ind w:left="67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95" w:hanging="1080"/>
      </w:pPr>
      <w:rPr>
        <w:rFonts w:hint="default"/>
      </w:rPr>
    </w:lvl>
    <w:lvl w:ilvl="6">
      <w:start w:val="1"/>
      <w:numFmt w:val="decimal"/>
      <w:isLgl/>
      <w:lvlText w:val="%1.%2.%3.%4.%5.%6.%7."/>
      <w:lvlJc w:val="left"/>
      <w:pPr>
        <w:ind w:left="3915"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4995" w:hanging="1800"/>
      </w:pPr>
      <w:rPr>
        <w:rFonts w:hint="default"/>
      </w:rPr>
    </w:lvl>
  </w:abstractNum>
  <w:abstractNum w:abstractNumId="25" w15:restartNumberingAfterBreak="0">
    <w:nsid w:val="54894256"/>
    <w:multiLevelType w:val="multilevel"/>
    <w:tmpl w:val="5330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B6BB6"/>
    <w:multiLevelType w:val="multilevel"/>
    <w:tmpl w:val="C45C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B0DF0"/>
    <w:multiLevelType w:val="multilevel"/>
    <w:tmpl w:val="BDA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53FB3"/>
    <w:multiLevelType w:val="multilevel"/>
    <w:tmpl w:val="E4D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1156A"/>
    <w:multiLevelType w:val="multilevel"/>
    <w:tmpl w:val="94D4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8C4307"/>
    <w:multiLevelType w:val="multilevel"/>
    <w:tmpl w:val="7022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3977FC"/>
    <w:multiLevelType w:val="multilevel"/>
    <w:tmpl w:val="7F4A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E3462"/>
    <w:multiLevelType w:val="multilevel"/>
    <w:tmpl w:val="94B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924DD9"/>
    <w:multiLevelType w:val="multilevel"/>
    <w:tmpl w:val="9F4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E0A8A"/>
    <w:multiLevelType w:val="multilevel"/>
    <w:tmpl w:val="03B2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93417">
    <w:abstractNumId w:val="7"/>
  </w:num>
  <w:num w:numId="2" w16cid:durableId="1827360254">
    <w:abstractNumId w:val="20"/>
  </w:num>
  <w:num w:numId="3" w16cid:durableId="2073112955">
    <w:abstractNumId w:val="0"/>
  </w:num>
  <w:num w:numId="4" w16cid:durableId="1888643651">
    <w:abstractNumId w:val="6"/>
  </w:num>
  <w:num w:numId="5" w16cid:durableId="1855727727">
    <w:abstractNumId w:val="22"/>
  </w:num>
  <w:num w:numId="6" w16cid:durableId="848788287">
    <w:abstractNumId w:val="13"/>
  </w:num>
  <w:num w:numId="7" w16cid:durableId="1064647475">
    <w:abstractNumId w:val="28"/>
  </w:num>
  <w:num w:numId="8" w16cid:durableId="1570379776">
    <w:abstractNumId w:val="23"/>
  </w:num>
  <w:num w:numId="9" w16cid:durableId="1115055828">
    <w:abstractNumId w:val="11"/>
  </w:num>
  <w:num w:numId="10" w16cid:durableId="326133578">
    <w:abstractNumId w:val="1"/>
  </w:num>
  <w:num w:numId="11" w16cid:durableId="866916235">
    <w:abstractNumId w:val="19"/>
  </w:num>
  <w:num w:numId="12" w16cid:durableId="1399203313">
    <w:abstractNumId w:val="5"/>
  </w:num>
  <w:num w:numId="13" w16cid:durableId="640384810">
    <w:abstractNumId w:val="3"/>
  </w:num>
  <w:num w:numId="14" w16cid:durableId="669605973">
    <w:abstractNumId w:val="9"/>
  </w:num>
  <w:num w:numId="15" w16cid:durableId="1425495180">
    <w:abstractNumId w:val="25"/>
  </w:num>
  <w:num w:numId="16" w16cid:durableId="506940364">
    <w:abstractNumId w:val="17"/>
  </w:num>
  <w:num w:numId="17" w16cid:durableId="529075206">
    <w:abstractNumId w:val="4"/>
  </w:num>
  <w:num w:numId="18" w16cid:durableId="495145190">
    <w:abstractNumId w:val="26"/>
  </w:num>
  <w:num w:numId="19" w16cid:durableId="2119136845">
    <w:abstractNumId w:val="27"/>
  </w:num>
  <w:num w:numId="20" w16cid:durableId="823475024">
    <w:abstractNumId w:val="8"/>
  </w:num>
  <w:num w:numId="21" w16cid:durableId="981740188">
    <w:abstractNumId w:val="12"/>
  </w:num>
  <w:num w:numId="22" w16cid:durableId="118496074">
    <w:abstractNumId w:val="10"/>
  </w:num>
  <w:num w:numId="23" w16cid:durableId="1419520748">
    <w:abstractNumId w:val="34"/>
  </w:num>
  <w:num w:numId="24" w16cid:durableId="1673483252">
    <w:abstractNumId w:val="2"/>
  </w:num>
  <w:num w:numId="25" w16cid:durableId="925966267">
    <w:abstractNumId w:val="16"/>
  </w:num>
  <w:num w:numId="26" w16cid:durableId="19667428">
    <w:abstractNumId w:val="33"/>
  </w:num>
  <w:num w:numId="27" w16cid:durableId="1711804724">
    <w:abstractNumId w:val="21"/>
  </w:num>
  <w:num w:numId="28" w16cid:durableId="528684609">
    <w:abstractNumId w:val="30"/>
  </w:num>
  <w:num w:numId="29" w16cid:durableId="1336693233">
    <w:abstractNumId w:val="29"/>
  </w:num>
  <w:num w:numId="30" w16cid:durableId="1023092270">
    <w:abstractNumId w:val="31"/>
  </w:num>
  <w:num w:numId="31" w16cid:durableId="1316253600">
    <w:abstractNumId w:val="14"/>
  </w:num>
  <w:num w:numId="32" w16cid:durableId="56124221">
    <w:abstractNumId w:val="32"/>
  </w:num>
  <w:num w:numId="33" w16cid:durableId="2093113776">
    <w:abstractNumId w:val="15"/>
  </w:num>
  <w:num w:numId="34" w16cid:durableId="1592162603">
    <w:abstractNumId w:val="18"/>
  </w:num>
  <w:num w:numId="35" w16cid:durableId="21229196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56D"/>
    <w:rsid w:val="000001D9"/>
    <w:rsid w:val="00004DB2"/>
    <w:rsid w:val="000060DF"/>
    <w:rsid w:val="00012273"/>
    <w:rsid w:val="00016236"/>
    <w:rsid w:val="000222A3"/>
    <w:rsid w:val="000304EA"/>
    <w:rsid w:val="000364B9"/>
    <w:rsid w:val="00041CCD"/>
    <w:rsid w:val="0004345D"/>
    <w:rsid w:val="000555E2"/>
    <w:rsid w:val="0006286A"/>
    <w:rsid w:val="00064FE6"/>
    <w:rsid w:val="00070842"/>
    <w:rsid w:val="00072931"/>
    <w:rsid w:val="00073E6D"/>
    <w:rsid w:val="00075401"/>
    <w:rsid w:val="000905F5"/>
    <w:rsid w:val="00095AF5"/>
    <w:rsid w:val="00097EF8"/>
    <w:rsid w:val="000D3425"/>
    <w:rsid w:val="000D4E81"/>
    <w:rsid w:val="000E79B8"/>
    <w:rsid w:val="001046F9"/>
    <w:rsid w:val="00110E2F"/>
    <w:rsid w:val="00123E1F"/>
    <w:rsid w:val="0012423D"/>
    <w:rsid w:val="0012567A"/>
    <w:rsid w:val="00137F0D"/>
    <w:rsid w:val="00141F63"/>
    <w:rsid w:val="00160083"/>
    <w:rsid w:val="0016534B"/>
    <w:rsid w:val="0017483A"/>
    <w:rsid w:val="0017678A"/>
    <w:rsid w:val="00177A49"/>
    <w:rsid w:val="00186B26"/>
    <w:rsid w:val="001B44B9"/>
    <w:rsid w:val="001E2BC3"/>
    <w:rsid w:val="001F1E52"/>
    <w:rsid w:val="001F49E8"/>
    <w:rsid w:val="001F64AB"/>
    <w:rsid w:val="0020038B"/>
    <w:rsid w:val="00206092"/>
    <w:rsid w:val="00206C80"/>
    <w:rsid w:val="002161FE"/>
    <w:rsid w:val="002207FD"/>
    <w:rsid w:val="00232988"/>
    <w:rsid w:val="002400F5"/>
    <w:rsid w:val="002431AF"/>
    <w:rsid w:val="002448BF"/>
    <w:rsid w:val="00285B36"/>
    <w:rsid w:val="0029442F"/>
    <w:rsid w:val="00296C09"/>
    <w:rsid w:val="002971A2"/>
    <w:rsid w:val="002A4D9A"/>
    <w:rsid w:val="002A6EAE"/>
    <w:rsid w:val="002B7E9D"/>
    <w:rsid w:val="002C420B"/>
    <w:rsid w:val="002E5B61"/>
    <w:rsid w:val="002F0FA4"/>
    <w:rsid w:val="002F1D87"/>
    <w:rsid w:val="0030041C"/>
    <w:rsid w:val="00311EE6"/>
    <w:rsid w:val="003204BF"/>
    <w:rsid w:val="00324F77"/>
    <w:rsid w:val="003512CC"/>
    <w:rsid w:val="00360007"/>
    <w:rsid w:val="0036329E"/>
    <w:rsid w:val="0037780C"/>
    <w:rsid w:val="00386021"/>
    <w:rsid w:val="003926C9"/>
    <w:rsid w:val="00393318"/>
    <w:rsid w:val="003974E9"/>
    <w:rsid w:val="003C7EF1"/>
    <w:rsid w:val="003E52CE"/>
    <w:rsid w:val="00400F21"/>
    <w:rsid w:val="00405F4E"/>
    <w:rsid w:val="004130D1"/>
    <w:rsid w:val="00425A46"/>
    <w:rsid w:val="004317FC"/>
    <w:rsid w:val="00434327"/>
    <w:rsid w:val="00447228"/>
    <w:rsid w:val="0046311C"/>
    <w:rsid w:val="00464968"/>
    <w:rsid w:val="0046502F"/>
    <w:rsid w:val="00467199"/>
    <w:rsid w:val="00477690"/>
    <w:rsid w:val="00486FEF"/>
    <w:rsid w:val="00493988"/>
    <w:rsid w:val="00495164"/>
    <w:rsid w:val="00496A82"/>
    <w:rsid w:val="004A0AD3"/>
    <w:rsid w:val="004A1C7E"/>
    <w:rsid w:val="004A36D3"/>
    <w:rsid w:val="004A5AD4"/>
    <w:rsid w:val="004C23D8"/>
    <w:rsid w:val="004C4676"/>
    <w:rsid w:val="004D6CED"/>
    <w:rsid w:val="004E206C"/>
    <w:rsid w:val="004E54E9"/>
    <w:rsid w:val="004F572C"/>
    <w:rsid w:val="004F592E"/>
    <w:rsid w:val="00507224"/>
    <w:rsid w:val="005077F2"/>
    <w:rsid w:val="00507F7A"/>
    <w:rsid w:val="00530645"/>
    <w:rsid w:val="005457DF"/>
    <w:rsid w:val="0055771A"/>
    <w:rsid w:val="005804F2"/>
    <w:rsid w:val="00592E95"/>
    <w:rsid w:val="00595F8F"/>
    <w:rsid w:val="00596021"/>
    <w:rsid w:val="005A0853"/>
    <w:rsid w:val="005A57B9"/>
    <w:rsid w:val="005A5F72"/>
    <w:rsid w:val="005B1EA0"/>
    <w:rsid w:val="005C49AD"/>
    <w:rsid w:val="005D443D"/>
    <w:rsid w:val="005E3F8D"/>
    <w:rsid w:val="005E5AA4"/>
    <w:rsid w:val="005F2114"/>
    <w:rsid w:val="005F456D"/>
    <w:rsid w:val="00612AA7"/>
    <w:rsid w:val="00621907"/>
    <w:rsid w:val="00633AD9"/>
    <w:rsid w:val="00634454"/>
    <w:rsid w:val="00641458"/>
    <w:rsid w:val="006420E9"/>
    <w:rsid w:val="00651592"/>
    <w:rsid w:val="006533B3"/>
    <w:rsid w:val="006621E7"/>
    <w:rsid w:val="00662B50"/>
    <w:rsid w:val="00664160"/>
    <w:rsid w:val="00686509"/>
    <w:rsid w:val="00693B0E"/>
    <w:rsid w:val="00696A00"/>
    <w:rsid w:val="006A0CB7"/>
    <w:rsid w:val="006A4D32"/>
    <w:rsid w:val="006A6892"/>
    <w:rsid w:val="006E1E9B"/>
    <w:rsid w:val="006E6F4F"/>
    <w:rsid w:val="00706943"/>
    <w:rsid w:val="007146F2"/>
    <w:rsid w:val="00721AAD"/>
    <w:rsid w:val="00725F9F"/>
    <w:rsid w:val="00744BD9"/>
    <w:rsid w:val="00751FD5"/>
    <w:rsid w:val="00763177"/>
    <w:rsid w:val="00766895"/>
    <w:rsid w:val="00767AF7"/>
    <w:rsid w:val="00775316"/>
    <w:rsid w:val="0079109F"/>
    <w:rsid w:val="007946AF"/>
    <w:rsid w:val="007B04DA"/>
    <w:rsid w:val="007B1D8A"/>
    <w:rsid w:val="007B3024"/>
    <w:rsid w:val="007B6699"/>
    <w:rsid w:val="007D46CE"/>
    <w:rsid w:val="007D5E52"/>
    <w:rsid w:val="007E0853"/>
    <w:rsid w:val="007E708A"/>
    <w:rsid w:val="007F6DA6"/>
    <w:rsid w:val="008029C4"/>
    <w:rsid w:val="0081340A"/>
    <w:rsid w:val="00823C48"/>
    <w:rsid w:val="00823F45"/>
    <w:rsid w:val="00824C29"/>
    <w:rsid w:val="0082537A"/>
    <w:rsid w:val="00832612"/>
    <w:rsid w:val="00845E99"/>
    <w:rsid w:val="00851509"/>
    <w:rsid w:val="00860506"/>
    <w:rsid w:val="00861298"/>
    <w:rsid w:val="00873B87"/>
    <w:rsid w:val="008772BF"/>
    <w:rsid w:val="008805B2"/>
    <w:rsid w:val="008824B1"/>
    <w:rsid w:val="008C1B9B"/>
    <w:rsid w:val="008C6E92"/>
    <w:rsid w:val="008D1C8E"/>
    <w:rsid w:val="008D28AA"/>
    <w:rsid w:val="008D3C11"/>
    <w:rsid w:val="008E3274"/>
    <w:rsid w:val="009057F6"/>
    <w:rsid w:val="00911D1C"/>
    <w:rsid w:val="009203E8"/>
    <w:rsid w:val="00925326"/>
    <w:rsid w:val="009339BD"/>
    <w:rsid w:val="009427C0"/>
    <w:rsid w:val="0099342C"/>
    <w:rsid w:val="009A4666"/>
    <w:rsid w:val="009A7DB0"/>
    <w:rsid w:val="009B1AC1"/>
    <w:rsid w:val="009B2B53"/>
    <w:rsid w:val="009B4057"/>
    <w:rsid w:val="009E6544"/>
    <w:rsid w:val="009F21D2"/>
    <w:rsid w:val="00A00460"/>
    <w:rsid w:val="00A031BB"/>
    <w:rsid w:val="00A22A5F"/>
    <w:rsid w:val="00A30575"/>
    <w:rsid w:val="00A34F6C"/>
    <w:rsid w:val="00A369CC"/>
    <w:rsid w:val="00A5588B"/>
    <w:rsid w:val="00A60188"/>
    <w:rsid w:val="00A60DA0"/>
    <w:rsid w:val="00A66B63"/>
    <w:rsid w:val="00A7374C"/>
    <w:rsid w:val="00A83B76"/>
    <w:rsid w:val="00A852FA"/>
    <w:rsid w:val="00AA5C3A"/>
    <w:rsid w:val="00AA7476"/>
    <w:rsid w:val="00AB2BB8"/>
    <w:rsid w:val="00AB5EC4"/>
    <w:rsid w:val="00AE0282"/>
    <w:rsid w:val="00AE0CA8"/>
    <w:rsid w:val="00AF01ED"/>
    <w:rsid w:val="00AF113D"/>
    <w:rsid w:val="00AF61C5"/>
    <w:rsid w:val="00AF6427"/>
    <w:rsid w:val="00B00448"/>
    <w:rsid w:val="00B059E6"/>
    <w:rsid w:val="00B063CD"/>
    <w:rsid w:val="00B160E0"/>
    <w:rsid w:val="00B162FE"/>
    <w:rsid w:val="00B20491"/>
    <w:rsid w:val="00B35070"/>
    <w:rsid w:val="00B42510"/>
    <w:rsid w:val="00B560BB"/>
    <w:rsid w:val="00B61D01"/>
    <w:rsid w:val="00BB03A6"/>
    <w:rsid w:val="00BB110F"/>
    <w:rsid w:val="00BB288C"/>
    <w:rsid w:val="00BB62FB"/>
    <w:rsid w:val="00BC094E"/>
    <w:rsid w:val="00BC310F"/>
    <w:rsid w:val="00BC7A3F"/>
    <w:rsid w:val="00BD295B"/>
    <w:rsid w:val="00BD40BB"/>
    <w:rsid w:val="00C0253E"/>
    <w:rsid w:val="00C103E7"/>
    <w:rsid w:val="00C10AF9"/>
    <w:rsid w:val="00C15B5B"/>
    <w:rsid w:val="00C1792A"/>
    <w:rsid w:val="00C2066A"/>
    <w:rsid w:val="00C32CF3"/>
    <w:rsid w:val="00C33BD1"/>
    <w:rsid w:val="00C402E0"/>
    <w:rsid w:val="00C51910"/>
    <w:rsid w:val="00C54AA7"/>
    <w:rsid w:val="00C56D3E"/>
    <w:rsid w:val="00C6461A"/>
    <w:rsid w:val="00C71AE8"/>
    <w:rsid w:val="00C83EB1"/>
    <w:rsid w:val="00C879A3"/>
    <w:rsid w:val="00CB5E7E"/>
    <w:rsid w:val="00CC1EE8"/>
    <w:rsid w:val="00CD0E37"/>
    <w:rsid w:val="00CD7115"/>
    <w:rsid w:val="00D02745"/>
    <w:rsid w:val="00D12CE0"/>
    <w:rsid w:val="00D20A85"/>
    <w:rsid w:val="00D25125"/>
    <w:rsid w:val="00D53B56"/>
    <w:rsid w:val="00D606EA"/>
    <w:rsid w:val="00D62D85"/>
    <w:rsid w:val="00D76C68"/>
    <w:rsid w:val="00D9238C"/>
    <w:rsid w:val="00D97ED4"/>
    <w:rsid w:val="00DB6FD1"/>
    <w:rsid w:val="00DC463F"/>
    <w:rsid w:val="00DD0DE6"/>
    <w:rsid w:val="00DD1643"/>
    <w:rsid w:val="00DD77B9"/>
    <w:rsid w:val="00DE6FE3"/>
    <w:rsid w:val="00DF2819"/>
    <w:rsid w:val="00E05607"/>
    <w:rsid w:val="00E23A89"/>
    <w:rsid w:val="00E240A0"/>
    <w:rsid w:val="00E43D2D"/>
    <w:rsid w:val="00E440AC"/>
    <w:rsid w:val="00E46D49"/>
    <w:rsid w:val="00E5120B"/>
    <w:rsid w:val="00E7184B"/>
    <w:rsid w:val="00E8321D"/>
    <w:rsid w:val="00E836AC"/>
    <w:rsid w:val="00E86711"/>
    <w:rsid w:val="00E87EEA"/>
    <w:rsid w:val="00E94798"/>
    <w:rsid w:val="00EA4560"/>
    <w:rsid w:val="00EA47FF"/>
    <w:rsid w:val="00EC5A92"/>
    <w:rsid w:val="00ED1739"/>
    <w:rsid w:val="00ED34B8"/>
    <w:rsid w:val="00ED4595"/>
    <w:rsid w:val="00EE0AC0"/>
    <w:rsid w:val="00EE3F23"/>
    <w:rsid w:val="00EE7650"/>
    <w:rsid w:val="00F0107D"/>
    <w:rsid w:val="00F12432"/>
    <w:rsid w:val="00F36826"/>
    <w:rsid w:val="00F52811"/>
    <w:rsid w:val="00F534F8"/>
    <w:rsid w:val="00F617BC"/>
    <w:rsid w:val="00F64E60"/>
    <w:rsid w:val="00F91D5B"/>
    <w:rsid w:val="00FA30AE"/>
    <w:rsid w:val="00FA7581"/>
    <w:rsid w:val="00FC1E2D"/>
    <w:rsid w:val="00FC2369"/>
    <w:rsid w:val="00FC444D"/>
    <w:rsid w:val="00FE1059"/>
    <w:rsid w:val="00FF06EF"/>
    <w:rsid w:val="00FF20D4"/>
    <w:rsid w:val="00FF57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725"/>
  <w15:chartTrackingRefBased/>
  <w15:docId w15:val="{7E055D8D-2635-4FC9-B86C-97AC768D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56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semiHidden/>
    <w:rsid w:val="005F456D"/>
    <w:pPr>
      <w:ind w:left="660"/>
      <w:jc w:val="both"/>
    </w:pPr>
    <w:rPr>
      <w:bCs/>
      <w:i/>
      <w:lang w:val="hr-HR"/>
    </w:rPr>
  </w:style>
  <w:style w:type="character" w:customStyle="1" w:styleId="UvuenotijelotekstaChar">
    <w:name w:val="Uvučeno tijelo teksta Char"/>
    <w:basedOn w:val="Zadanifontodlomka"/>
    <w:link w:val="Uvuenotijeloteksta"/>
    <w:semiHidden/>
    <w:rsid w:val="005F456D"/>
    <w:rPr>
      <w:rFonts w:ascii="Times New Roman" w:eastAsia="Times New Roman" w:hAnsi="Times New Roman" w:cs="Times New Roman"/>
      <w:bCs/>
      <w:i/>
      <w:sz w:val="24"/>
      <w:szCs w:val="20"/>
      <w:lang w:eastAsia="hr-HR"/>
    </w:rPr>
  </w:style>
  <w:style w:type="paragraph" w:styleId="Odlomakpopisa">
    <w:name w:val="List Paragraph"/>
    <w:basedOn w:val="Normal"/>
    <w:uiPriority w:val="34"/>
    <w:qFormat/>
    <w:rsid w:val="005F456D"/>
    <w:pPr>
      <w:ind w:left="720"/>
      <w:contextualSpacing/>
    </w:pPr>
  </w:style>
  <w:style w:type="table" w:styleId="Reetkatablice">
    <w:name w:val="Table Grid"/>
    <w:basedOn w:val="Obinatablica"/>
    <w:uiPriority w:val="59"/>
    <w:rsid w:val="005F456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5F456D"/>
    <w:pPr>
      <w:tabs>
        <w:tab w:val="center" w:pos="4536"/>
        <w:tab w:val="right" w:pos="9072"/>
      </w:tabs>
    </w:pPr>
  </w:style>
  <w:style w:type="character" w:customStyle="1" w:styleId="PodnojeChar">
    <w:name w:val="Podnožje Char"/>
    <w:basedOn w:val="Zadanifontodlomka"/>
    <w:link w:val="Podnoje"/>
    <w:uiPriority w:val="99"/>
    <w:rsid w:val="005F456D"/>
    <w:rPr>
      <w:rFonts w:ascii="Times New Roman" w:eastAsia="Times New Roman" w:hAnsi="Times New Roman" w:cs="Times New Roman"/>
      <w:sz w:val="24"/>
      <w:szCs w:val="20"/>
      <w:lang w:val="en-GB" w:eastAsia="hr-HR"/>
    </w:rPr>
  </w:style>
  <w:style w:type="paragraph" w:styleId="Tekstbalonia">
    <w:name w:val="Balloon Text"/>
    <w:basedOn w:val="Normal"/>
    <w:link w:val="TekstbaloniaChar"/>
    <w:uiPriority w:val="99"/>
    <w:semiHidden/>
    <w:unhideWhenUsed/>
    <w:rsid w:val="004317F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317FC"/>
    <w:rPr>
      <w:rFonts w:ascii="Segoe UI" w:eastAsia="Times New Roman" w:hAnsi="Segoe UI" w:cs="Segoe UI"/>
      <w:sz w:val="18"/>
      <w:szCs w:val="18"/>
      <w:lang w:val="en-GB" w:eastAsia="hr-HR"/>
    </w:rPr>
  </w:style>
  <w:style w:type="character" w:customStyle="1" w:styleId="fontstyle01">
    <w:name w:val="fontstyle01"/>
    <w:basedOn w:val="Zadanifontodlomka"/>
    <w:rsid w:val="007B1D8A"/>
    <w:rPr>
      <w:rFonts w:ascii="Arial" w:hAnsi="Arial" w:cs="Arial" w:hint="default"/>
      <w:b/>
      <w:bCs/>
      <w:i w:val="0"/>
      <w:iCs w:val="0"/>
      <w:color w:val="000000"/>
      <w:sz w:val="22"/>
      <w:szCs w:val="22"/>
    </w:rPr>
  </w:style>
  <w:style w:type="paragraph" w:styleId="StandardWeb">
    <w:name w:val="Normal (Web)"/>
    <w:basedOn w:val="Normal"/>
    <w:uiPriority w:val="99"/>
    <w:semiHidden/>
    <w:unhideWhenUsed/>
    <w:rsid w:val="004E54E9"/>
    <w:pPr>
      <w:overflowPunct/>
      <w:autoSpaceDE/>
      <w:autoSpaceDN/>
      <w:adjustRightInd/>
      <w:spacing w:before="100" w:beforeAutospacing="1" w:after="100" w:afterAutospacing="1"/>
      <w:textAlignment w:val="auto"/>
    </w:pPr>
    <w:rPr>
      <w:szCs w:val="24"/>
      <w:lang w:val="hr-HR"/>
    </w:rPr>
  </w:style>
  <w:style w:type="character" w:styleId="Naglaeno">
    <w:name w:val="Strong"/>
    <w:basedOn w:val="Zadanifontodlomka"/>
    <w:uiPriority w:val="22"/>
    <w:qFormat/>
    <w:rsid w:val="004E54E9"/>
    <w:rPr>
      <w:b/>
      <w:bCs/>
    </w:rPr>
  </w:style>
  <w:style w:type="character" w:styleId="Istaknuto">
    <w:name w:val="Emphasis"/>
    <w:basedOn w:val="Zadanifontodlomka"/>
    <w:uiPriority w:val="20"/>
    <w:qFormat/>
    <w:rsid w:val="004E54E9"/>
    <w:rPr>
      <w:i/>
      <w:iCs/>
    </w:rPr>
  </w:style>
  <w:style w:type="character" w:customStyle="1" w:styleId="whitespace-normal">
    <w:name w:val="whitespace-normal"/>
    <w:basedOn w:val="Zadanifontodlomka"/>
    <w:rsid w:val="004E5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9C13-6719-46A6-859B-0AAB2DBE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5270</Words>
  <Characters>30041</Characters>
  <Application>Microsoft Office Word</Application>
  <DocSecurity>0</DocSecurity>
  <Lines>250</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Acer</cp:lastModifiedBy>
  <cp:revision>19</cp:revision>
  <cp:lastPrinted>2025-03-13T08:42:00Z</cp:lastPrinted>
  <dcterms:created xsi:type="dcterms:W3CDTF">2026-03-18T07:29:00Z</dcterms:created>
  <dcterms:modified xsi:type="dcterms:W3CDTF">2026-03-19T10:51:00Z</dcterms:modified>
</cp:coreProperties>
</file>