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14fcf3b6fcaa4b3d"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33110</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DONJA DUBRAVA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22</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691.510,77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1.626.511,80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235,2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614.920,21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658.763,85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76.590,56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967.747,95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1263,5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239,15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4.684,12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1958,7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651.077,49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3.211.421,52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493,2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650.838,34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3.206.737,40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492,7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1.628.758,42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25.217,28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25.217,28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PRIMITAKA OD FINANCIJSKE IMOVINE I ZADUŽIVANJA (šifre 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1.603.541,14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599.465,06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635.448,31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106,0</w:t>
            </w:r>
          </w:p>
        </w:tc>
      </w:tr>
    </w:tbl>
    <w:p>
      <w:pPr>
        <w:spacing w:before="0" w:after="0"/>
      </w:pPr>
    </w:p>
    <w:p>
      <w:r>
        <w:t xml:space="preserve">Odgovorna osoba Općine Donja Dubrava je Damir Vidović, načelnik. Bilješke uz financijske izvještaje sastavlja Tatjana Kivač. Viškom prihoda se pokriva dio manjka prihoda iz prethodne godine koji je nastao zbog predfinanciranja projekta IC Palača Međimurske popevke.</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Stalni porezi na nepokretnu imovinu (zemlju, zgrade, kuće i ostalo)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669,80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1110,0</w:t>
            </w:r>
          </w:p>
        </w:tc>
      </w:tr>
    </w:tbl>
    <w:p>
      <w:pPr>
        <w:spacing w:before="0" w:after="0"/>
      </w:pPr>
    </w:p>
    <w:p>
      <w:r>
        <w:t xml:space="preserve">U 2025. godini uveden Porez na nekretnine.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Povremeni porezi na imovinu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5.468,54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13.782,26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252,0</w:t>
            </w:r>
          </w:p>
        </w:tc>
      </w:tr>
    </w:tbl>
    <w:p>
      <w:pPr>
        <w:spacing w:before="0" w:after="0"/>
      </w:pPr>
    </w:p>
    <w:p>
      <w:r>
        <w:t xml:space="preserve">Više kupoprodaje nekretnina u odnosu na 2025. godinu.</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od institucija i tijela EU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25.534,56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Refundacija sredstava po EU projektu Zlatarske avanture.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od izvanproračunskih korisnika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5.400,23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2025. primljena sredstva Međimurskih voda za aglomeraciju.</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122.796,43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1.005.582,81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818,9</w:t>
            </w:r>
          </w:p>
        </w:tc>
      </w:tr>
    </w:tbl>
    <w:p>
      <w:pPr>
        <w:spacing w:before="0" w:after="0"/>
      </w:pPr>
    </w:p>
    <w:p>
      <w:r>
        <w:t xml:space="preserve">NPOO za IC Palača međimurske popevke.</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zakupa i iznajmljivanja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1.889,58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665,40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35,2</w:t>
            </w:r>
          </w:p>
        </w:tc>
      </w:tr>
    </w:tbl>
    <w:p>
      <w:pPr>
        <w:spacing w:before="0" w:after="0"/>
      </w:pPr>
    </w:p>
    <w:p>
      <w:r>
        <w:t xml:space="preserve">Plaćeni dugovi od zakupa polj.zemljišta iz prethodnih godina.</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Naknada za korištenje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5.209,41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8.820,54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169,3</w:t>
            </w:r>
          </w:p>
        </w:tc>
      </w:tr>
    </w:tbl>
    <w:p>
      <w:pPr>
        <w:spacing w:before="0" w:after="0"/>
      </w:pPr>
    </w:p>
    <w:p>
      <w:r>
        <w:t xml:space="preserve">Prihod HT-a za pravo služnosti u 2025. knjižena na 6512.</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prihodi od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267,03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1341,9</w:t>
            </w:r>
          </w:p>
        </w:tc>
      </w:tr>
    </w:tbl>
    <w:p>
      <w:pPr>
        <w:spacing w:before="0" w:after="0"/>
      </w:pPr>
    </w:p>
    <w:p>
      <w:r>
        <w:t xml:space="preserve">Prihod INE za pravo služnosti u 2025. knjižena na 6512.</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Županijske, gradske i općinske 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6.322,88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w:t>
            </w:r>
          </w:p>
        </w:tc>
      </w:tr>
    </w:tbl>
    <w:p>
      <w:pPr>
        <w:spacing w:before="0" w:after="0"/>
      </w:pPr>
    </w:p>
    <w:p>
      <w:r>
        <w:t xml:space="preserve">Veza - bilješka uz šifru 6423.</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3.447,06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5.806,40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168,4</w:t>
            </w:r>
          </w:p>
        </w:tc>
      </w:tr>
    </w:tbl>
    <w:p>
      <w:pPr>
        <w:spacing w:before="0" w:after="0"/>
      </w:pPr>
    </w:p>
    <w:p>
      <w:r>
        <w:t xml:space="preserve">U 2026. uplaćena sredstva po ostavinskoj raspravi (nasljedstvo)</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26.903,17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7.265,98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27,0</w:t>
            </w:r>
          </w:p>
        </w:tc>
      </w:tr>
    </w:tbl>
    <w:p>
      <w:pPr>
        <w:spacing w:before="0" w:after="0"/>
      </w:pPr>
    </w:p>
    <w:p>
      <w:r>
        <w:t xml:space="preserve">Zbog programskih poteškoća nisu išla rješenja za komunalnu naknadu pa nema ni prihoda od 2026. godine.</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Do 2024. godine je općina naplaćivala Naknadu za uređenje voda i obračunava 10% provizije na naplaćeno.</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(bruto) (šifre 3111 do 3114)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60.502,41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75.871,88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125,4</w:t>
            </w:r>
          </w:p>
        </w:tc>
      </w:tr>
    </w:tbl>
    <w:p>
      <w:pPr>
        <w:spacing w:before="0" w:after="0"/>
      </w:pPr>
    </w:p>
    <w:p>
      <w:r>
        <w:t xml:space="preserve">Od 22.5.2025. načelnik je profesionalac, ne volonter.</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22.416,54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10.121,11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45,2</w:t>
            </w:r>
          </w:p>
        </w:tc>
      </w:tr>
    </w:tbl>
    <w:p>
      <w:pPr>
        <w:spacing w:before="0" w:after="0"/>
      </w:pPr>
    </w:p>
    <w:p>
      <w:r>
        <w:t xml:space="preserve">U 2026. isplaćene manje naknade za ostvarene rezultate.</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za obvezno zdravstveno osiguranje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9.982,93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12.518,88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125,4</w:t>
            </w:r>
          </w:p>
        </w:tc>
      </w:tr>
    </w:tbl>
    <w:p>
      <w:pPr>
        <w:spacing w:before="0" w:after="0"/>
      </w:pPr>
    </w:p>
    <w:p>
      <w:r>
        <w:t xml:space="preserve">Od 22.5.2025. načelnik je profesionalac, ne volonter.</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1.437,60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1.982,80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137,9</w:t>
            </w:r>
          </w:p>
        </w:tc>
      </w:tr>
    </w:tbl>
    <w:p>
      <w:pPr>
        <w:spacing w:before="0" w:after="0"/>
      </w:pPr>
    </w:p>
    <w:p>
      <w:r>
        <w:t xml:space="preserve">Zbog više projekata povećana službena putovanja.</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za rad na terenu i odvojeni život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525,40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Jedna djelatnica promijenila mjesto prebivališta.</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10.154,16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16.886,13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166,3</w:t>
            </w:r>
          </w:p>
        </w:tc>
      </w:tr>
    </w:tbl>
    <w:p>
      <w:pPr>
        <w:spacing w:before="0" w:after="0"/>
      </w:pPr>
    </w:p>
    <w:p>
      <w:r>
        <w:t xml:space="preserve">Povećanje potrošnje plina zbog jače zime, zbog provala javna rasvjeta radi cijele noći, a prije je bilo do ponoći.</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2.807,63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4.950,16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176,3</w:t>
            </w:r>
          </w:p>
        </w:tc>
      </w:tr>
    </w:tbl>
    <w:p>
      <w:pPr>
        <w:spacing w:before="0" w:after="0"/>
      </w:pPr>
    </w:p>
    <w:p>
      <w:r>
        <w:t xml:space="preserve">U 2026. nabavljene konferencijske stolice za IC Palača međimurske popevke.</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27.746,95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9.160,91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33,0</w:t>
            </w:r>
          </w:p>
        </w:tc>
      </w:tr>
    </w:tbl>
    <w:p>
      <w:pPr>
        <w:spacing w:before="0" w:after="0"/>
      </w:pPr>
    </w:p>
    <w:p>
      <w:r>
        <w:t xml:space="preserve">2025. uz tekuće rashode sponzoriran film o Nikoli Zrinskom i nabavljene majice i jakne s logom Općine i svake pojedine udruge za lokalne udruge.</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39.394,64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73.489,39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186,5</w:t>
            </w:r>
          </w:p>
        </w:tc>
      </w:tr>
    </w:tbl>
    <w:p>
      <w:pPr>
        <w:spacing w:before="0" w:after="0"/>
      </w:pPr>
    </w:p>
    <w:p>
      <w:r>
        <w:t xml:space="preserve">U 2026. napravljeno orezivanje drveća i grmova po cijelom mjestu, uklonila se skakaonica na obali Drave i bila su ulaganja u oborinsku odvodnju.</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2800</w:t>
            </w:r>
          </w:p>
        </w:tc>
      </w:tr>
    </w:tbl>
    <w:p>
      <w:pPr>
        <w:spacing w:before="0" w:after="0"/>
      </w:pPr>
    </w:p>
    <w:p>
      <w:r>
        <w:t xml:space="preserve">Sistematski pregledi zaposlenika.</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17.439,42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41.226,45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236,4</w:t>
            </w:r>
          </w:p>
        </w:tc>
      </w:tr>
    </w:tbl>
    <w:p>
      <w:pPr>
        <w:spacing w:before="0" w:after="0"/>
      </w:pPr>
    </w:p>
    <w:p>
      <w:r>
        <w:t xml:space="preserve">Povećani rashodi zbog projekta IC Palača međimurske popevke i Zlatarskih avantura.</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Računalne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3.651,93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4.346,68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119,0</w:t>
            </w:r>
          </w:p>
        </w:tc>
      </w:tr>
    </w:tbl>
    <w:p>
      <w:pPr>
        <w:spacing w:before="0" w:after="0"/>
      </w:pPr>
    </w:p>
    <w:p>
      <w:r>
        <w:t xml:space="preserve">Povećanje cijene usluga.</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8.837,48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5.611,06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63,5</w:t>
            </w:r>
          </w:p>
        </w:tc>
      </w:tr>
    </w:tbl>
    <w:p>
      <w:pPr>
        <w:spacing w:before="0" w:after="0"/>
      </w:pPr>
    </w:p>
    <w:p>
      <w:r>
        <w:t xml:space="preserve">Tu se u 2025. knjižila provizija 1% poreza na dohodak i 5% poreznoj upravi</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rad predstavničkih i izvršnih tijela, povjerenstava i slično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24.657,42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2.082,81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w:t>
            </w:r>
          </w:p>
        </w:tc>
      </w:tr>
    </w:tbl>
    <w:p>
      <w:pPr>
        <w:spacing w:before="0" w:after="0"/>
      </w:pPr>
    </w:p>
    <w:p>
      <w:r>
        <w:t xml:space="preserve">U 2025. do izbora je načelnik bio volonte, a sad je profesionalac (veza 3111).</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4.128,96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Provizija 1% poreza na dohodak i 5% poreznoj upravi.</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Kamate za primljene kredite i zajmove od kreditnih i ostalih financijskih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1.074,11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605,09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56,3</w:t>
            </w:r>
          </w:p>
        </w:tc>
      </w:tr>
    </w:tbl>
    <w:p>
      <w:pPr>
        <w:spacing w:before="0" w:after="0"/>
      </w:pPr>
    </w:p>
    <w:p>
      <w:r>
        <w:t xml:space="preserve">Manja kamata jer je manja ostatak glavnice kredita.</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financijski rashodi (šifre 3431 do 3434)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1.110,54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22.951,54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2066,7</w:t>
            </w:r>
          </w:p>
        </w:tc>
      </w:tr>
    </w:tbl>
    <w:p>
      <w:pPr>
        <w:spacing w:before="0" w:after="0"/>
      </w:pPr>
    </w:p>
    <w:p>
      <w:r>
        <w:t xml:space="preserve">Bilješka na 3434</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financijski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536,07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21.931,69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4091,2</w:t>
            </w:r>
          </w:p>
        </w:tc>
      </w:tr>
    </w:tbl>
    <w:p>
      <w:pPr>
        <w:spacing w:before="0" w:after="0"/>
      </w:pPr>
    </w:p>
    <w:p>
      <w:r>
        <w:t xml:space="preserve">Naknada za odobrenje kredita  i produženje roka korištanje HBOR-a za financiranje projekta IC Palača međimurske popevke + naknada za prijevremeni raskid ugovora ETP GMBH.</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drugom proračunu i izvanproračunskim korisnicima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109.692,72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2025.se ulagalo u uređenje ambulante i kanalizaciju.</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1.989,60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20.368,52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1023,7</w:t>
            </w:r>
          </w:p>
        </w:tc>
      </w:tr>
    </w:tbl>
    <w:p>
      <w:pPr>
        <w:spacing w:before="0" w:after="0"/>
      </w:pPr>
    </w:p>
    <w:p>
      <w:r>
        <w:t xml:space="preserve">Općina financira produženi boravak djece u školi te sufinancira boravak djece u vrtićima korisnicima drugih proračuna.</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Prijenosi proračunskim korisnicima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87.215,00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144.976,08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166,2</w:t>
            </w:r>
          </w:p>
        </w:tc>
      </w:tr>
    </w:tbl>
    <w:p>
      <w:pPr>
        <w:spacing w:before="0" w:after="0"/>
      </w:pPr>
    </w:p>
    <w:p>
      <w:r>
        <w:t xml:space="preserve">U siječnju roditelji oslobođeni plaćanja boravka djece u vrtiću + povećanje ekonomske cijene.</w:t>
      </w:r>
    </w:p>
    <w:p/>
    <w:p>
      <w:pPr>
        <w:jc w:val="center"/>
        <w:pStyle w:val="Normal"/>
        <w:spacing w:line="240" w:lineRule="auto"/>
        <w:keepNext/>
      </w:pPr>
      <w:r>
        <w:rPr>
          <w:sz w:val="28"/>
          <w:rFonts w:ascii="Times New Roman" w:hAnsi="Times New Roman"/>
        </w:rPr>
        <w:t xml:space="preserve">Bilješka 35.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12.788,20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34.803,18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272,2</w:t>
            </w:r>
          </w:p>
        </w:tc>
      </w:tr>
    </w:tbl>
    <w:p>
      <w:pPr>
        <w:spacing w:before="0" w:after="0"/>
      </w:pPr>
    </w:p>
    <w:p>
      <w:r>
        <w:t xml:space="preserve">Poticajna nakanda za kupnju ili adaptaciju nekretnine. Natječaj se u pravilu radio krajem godine za tekuću godinu, a od 2026. se radi početkom godine za prethodnu godinu.</w:t>
      </w:r>
    </w:p>
    <w:p/>
    <w:p>
      <w:pPr>
        <w:jc w:val="center"/>
        <w:pStyle w:val="Normal"/>
        <w:spacing w:line="240" w:lineRule="auto"/>
        <w:keepNext/>
      </w:pPr>
      <w:r>
        <w:rPr>
          <w:sz w:val="28"/>
          <w:rFonts w:ascii="Times New Roman" w:hAnsi="Times New Roman"/>
        </w:rPr>
        <w:t xml:space="preserve">Bilješka 36.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76.590,56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967.747,95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1263,5</w:t>
            </w:r>
          </w:p>
        </w:tc>
      </w:tr>
    </w:tbl>
    <w:p>
      <w:pPr>
        <w:spacing w:before="0" w:after="0"/>
      </w:pPr>
    </w:p>
    <w:p>
      <w:r>
        <w:t xml:space="preserve">Refundiran dio sredstava za projekt IC Palača međimurske popevke.</w:t>
      </w:r>
    </w:p>
    <w:p/>
    <w:p>
      <w:pPr>
        <w:jc w:val="center"/>
        <w:pStyle w:val="Normal"/>
        <w:spacing w:line="240" w:lineRule="auto"/>
        <w:keepNext/>
      </w:pPr>
      <w:r>
        <w:rPr>
          <w:sz w:val="28"/>
          <w:rFonts w:ascii="Times New Roman" w:hAnsi="Times New Roman"/>
        </w:rPr>
        <w:t xml:space="preserve">Bilješka 37.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231.157,90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817.729,72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353,8</w:t>
            </w:r>
          </w:p>
        </w:tc>
      </w:tr>
    </w:tbl>
    <w:p>
      <w:pPr>
        <w:spacing w:before="0" w:after="0"/>
      </w:pPr>
    </w:p>
    <w:p>
      <w:r>
        <w:t xml:space="preserve">Veća potraživanja zbog zahtjeva za refundacijom predfinanciranih projekata.</w:t>
      </w:r>
    </w:p>
    <w:p/>
    <w:p>
      <w:pPr>
        <w:jc w:val="center"/>
        <w:pStyle w:val="Normal"/>
        <w:spacing w:line="240" w:lineRule="auto"/>
        <w:keepNext/>
      </w:pPr>
      <w:r>
        <w:rPr>
          <w:sz w:val="28"/>
          <w:rFonts w:ascii="Times New Roman" w:hAnsi="Times New Roman"/>
        </w:rPr>
        <w:t xml:space="preserve">Bilješka 38.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Zemljište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4.450,73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2557,9</w:t>
            </w:r>
          </w:p>
        </w:tc>
      </w:tr>
    </w:tbl>
    <w:p>
      <w:pPr>
        <w:spacing w:before="0" w:after="0"/>
      </w:pPr>
    </w:p>
    <w:p>
      <w:r>
        <w:t xml:space="preserve">Plaćen dug za prodaju državnog zemljišta iz 2025. godine.</w:t>
      </w:r>
    </w:p>
    <w:p/>
    <w:p>
      <w:pPr>
        <w:jc w:val="center"/>
        <w:pStyle w:val="Normal"/>
        <w:spacing w:line="240" w:lineRule="auto"/>
        <w:keepNext/>
      </w:pPr>
      <w:r>
        <w:rPr>
          <w:sz w:val="28"/>
          <w:rFonts w:ascii="Times New Roman" w:hAnsi="Times New Roman"/>
        </w:rPr>
        <w:t xml:space="preserve">Bilješka 39.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Stambeni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233,39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358,2</w:t>
            </w:r>
          </w:p>
        </w:tc>
      </w:tr>
    </w:tbl>
    <w:p>
      <w:pPr>
        <w:spacing w:before="0" w:after="0"/>
      </w:pPr>
    </w:p>
    <w:p>
      <w:r>
        <w:t xml:space="preserve">Otkup stanova.</w:t>
      </w:r>
    </w:p>
    <w:p/>
    <w:p>
      <w:pPr>
        <w:jc w:val="center"/>
        <w:pStyle w:val="Normal"/>
        <w:spacing w:line="240" w:lineRule="auto"/>
        <w:keepNext/>
      </w:pPr>
      <w:r>
        <w:rPr>
          <w:sz w:val="28"/>
          <w:rFonts w:ascii="Times New Roman" w:hAnsi="Times New Roman"/>
        </w:rPr>
        <w:t xml:space="preserve">Bilješka 40.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Ceste, željeznice i ostali prometni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Pješačka staza M.P.Miškine - idejni projekt.</w:t>
      </w:r>
    </w:p>
    <w:p/>
    <w:p>
      <w:pPr>
        <w:jc w:val="center"/>
        <w:pStyle w:val="Normal"/>
        <w:spacing w:line="240" w:lineRule="auto"/>
        <w:keepNext/>
      </w:pPr>
      <w:r>
        <w:rPr>
          <w:sz w:val="28"/>
          <w:rFonts w:ascii="Times New Roman" w:hAnsi="Times New Roman"/>
        </w:rPr>
        <w:t xml:space="preserve">Bilješka 41.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građevinski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1.164,05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Ulaganje u objekt na vodi - Fljojs.</w:t>
      </w:r>
    </w:p>
    <w:p/>
    <w:p>
      <w:pPr>
        <w:jc w:val="center"/>
        <w:pStyle w:val="Normal"/>
        <w:spacing w:line="240" w:lineRule="auto"/>
        <w:keepNext/>
      </w:pPr>
      <w:r>
        <w:rPr>
          <w:sz w:val="28"/>
          <w:rFonts w:ascii="Times New Roman" w:hAnsi="Times New Roman"/>
        </w:rPr>
        <w:t xml:space="preserve">Bilješka 42.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Postrojenja i oprema (šifre 4221 do 4228)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3.865,51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2.696.351,29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&gt;&gt;100</w:t>
            </w:r>
          </w:p>
        </w:tc>
      </w:tr>
    </w:tbl>
    <w:p>
      <w:pPr>
        <w:spacing w:before="0" w:after="0"/>
      </w:pPr>
    </w:p>
    <w:p>
      <w:r>
        <w:t xml:space="preserve">Bilješka na 4227</w:t>
      </w:r>
    </w:p>
    <w:p/>
    <w:p>
      <w:pPr>
        <w:jc w:val="center"/>
        <w:pStyle w:val="Normal"/>
        <w:spacing w:line="240" w:lineRule="auto"/>
        <w:keepNext/>
      </w:pPr>
      <w:r>
        <w:rPr>
          <w:sz w:val="28"/>
          <w:rFonts w:ascii="Times New Roman" w:hAnsi="Times New Roman"/>
        </w:rPr>
        <w:t xml:space="preserve">Bilješka 43.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Uređaji, strojevi i oprema za ostale namjene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3.865,51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2.696.351,29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&gt;&gt;100</w:t>
            </w:r>
          </w:p>
        </w:tc>
      </w:tr>
    </w:tbl>
    <w:p>
      <w:pPr>
        <w:spacing w:before="0" w:after="0"/>
      </w:pPr>
    </w:p>
    <w:p>
      <w:r>
        <w:t xml:space="preserve">Oprema za IC Palača međimurske popevke.</w:t>
      </w:r>
    </w:p>
    <w:p/>
    <w:p>
      <w:pPr>
        <w:jc w:val="center"/>
        <w:pStyle w:val="Normal"/>
        <w:spacing w:line="240" w:lineRule="auto"/>
        <w:keepNext/>
      </w:pPr>
      <w:r>
        <w:rPr>
          <w:sz w:val="28"/>
          <w:rFonts w:ascii="Times New Roman" w:hAnsi="Times New Roman"/>
        </w:rPr>
        <w:t xml:space="preserve">Bilješka 44.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Ulaganja u računalne programe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5.162,50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Nabavljena aplikacija za objedinjenu glavnu knjigu.</w:t>
      </w:r>
    </w:p>
    <w:p/>
    <w:p>
      <w:pPr>
        <w:jc w:val="center"/>
        <w:pStyle w:val="Normal"/>
        <w:spacing w:line="240" w:lineRule="auto"/>
        <w:keepNext/>
      </w:pPr>
      <w:r>
        <w:rPr>
          <w:sz w:val="28"/>
          <w:rFonts w:ascii="Times New Roman" w:hAnsi="Times New Roman"/>
        </w:rPr>
        <w:t xml:space="preserve">Bilješka 45.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Umjetnička, literarna i znanstvena djela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Transformacija prostornog plana.</w:t>
      </w:r>
    </w:p>
    <w:p/>
    <w:p>
      <w:pPr>
        <w:jc w:val="center"/>
        <w:pStyle w:val="Normal"/>
        <w:spacing w:line="240" w:lineRule="auto"/>
        <w:keepNext/>
      </w:pPr>
      <w:r>
        <w:rPr>
          <w:sz w:val="28"/>
          <w:rFonts w:ascii="Times New Roman" w:hAnsi="Times New Roman"/>
        </w:rPr>
        <w:t xml:space="preserve">Bilješka 46.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Dodatna ulaganja na građevinskim objektima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24.862,50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Ulaganja u tzv.Slavičinu hižu.</w:t>
      </w:r>
    </w:p>
    <w:p/>
    <w:p>
      <w:pPr>
        <w:jc w:val="center"/>
        <w:pStyle w:val="Normal"/>
        <w:spacing w:line="240" w:lineRule="auto"/>
        <w:keepNext/>
      </w:pPr>
      <w:r>
        <w:rPr>
          <w:sz w:val="28"/>
          <w:rFonts w:ascii="Times New Roman" w:hAnsi="Times New Roman"/>
        </w:rPr>
        <w:t xml:space="preserve">Bilješka 47.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650.838,34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3.206.737,40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492,7</w:t>
            </w:r>
          </w:p>
        </w:tc>
      </w:tr>
    </w:tbl>
    <w:p>
      <w:pPr>
        <w:spacing w:before="0" w:after="0"/>
      </w:pPr>
    </w:p>
    <w:p>
      <w:r>
        <w:t xml:space="preserve">Nastao zbog predfinanciranja projekta IC Palača međimurske popevke.</w:t>
      </w:r>
    </w:p>
    <w:p/>
    <w:p>
      <w:pPr>
        <w:jc w:val="center"/>
        <w:pStyle w:val="Normal"/>
        <w:spacing w:line="240" w:lineRule="auto"/>
        <w:keepNext/>
      </w:pPr>
      <w:r>
        <w:rPr>
          <w:sz w:val="28"/>
          <w:rFonts w:ascii="Times New Roman" w:hAnsi="Times New Roman"/>
        </w:rPr>
        <w:t xml:space="preserve">Bilješka 48.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8424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Primljeni zajmovi od ostalih financijskih institucija u javnom sektoru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8424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1.628.758,42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Kredit HBOR-a za projekt IC Palača međimurske popevke.</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49.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6.022,66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Omaškom nisu podmirene dospjele obveze. Iste su pokrivene do slanja kvartalnog izvješća.</w:t>
      </w:r>
    </w:p>
    <w:p/>
    <w:p>
      <w:pPr>
        <w:jc w:val="center"/>
        <w:pStyle w:val="Normal"/>
        <w:spacing w:line="240" w:lineRule="auto"/>
        <w:keepNext/>
      </w:pPr>
      <w:r>
        <w:rPr>
          <w:sz w:val="28"/>
          <w:rFonts w:ascii="Times New Roman" w:hAnsi="Times New Roman"/>
        </w:rPr>
        <w:t xml:space="preserve">Bilješka 50.</w:t>
      </w:r>
    </w:p>
    <w:p>
      <w:pPr>
        <w:jc w:val="both"/>
        <w:pStyle w:val="Normal"/>
        <w:spacing w:line="240" w:lineRule="auto"/>
      </w:pPr>
      <w:r>
        <w:rPr>
          <w:b/>
          <w:sz w:val="24"/>
          <w:rFonts w:ascii="Times New Roman" w:hAnsi="Times New Roman"/>
        </w:rPr>
        <w:t xml:space="preserve">EU izvještaj</w:t>
      </w:r>
    </w:p>
    <w:p>
      <w:r>
        <w:t xml:space="preserve">U EU izvještaju popunjena su tri projekta.</w:t>
      </w:r>
    </w:p>
    <w:p>
      <w:r>
        <w:t xml:space="preserve">Projekt koji će završiti u tekućoj godini je IC Palača međimurske popevke - NPOO</w:t>
      </w:r>
    </w:p>
    <w:p>
      <w:r>
        <w:t xml:space="preserve">Projekt Zlatarske avanture gdje smo partner LAG-u i koji završava 2027. godine - INTERREG</w:t>
      </w:r>
    </w:p>
    <w:p>
      <w:r>
        <w:t xml:space="preserve">Projekt koji je započet u ovoj godine je Two rivers one goal III - INTERREG</w:t>
      </w:r>
    </w:p>
    <w:p>
      <w:r>
        <w:t xml:space="preserve"> </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386844f41fe84b6c" /></Relationships>
</file>